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0D3" w:rsidRPr="005C20D3" w:rsidRDefault="00200608" w:rsidP="005C20D3">
      <w:pPr>
        <w:tabs>
          <w:tab w:val="center" w:pos="5664"/>
          <w:tab w:val="center" w:pos="6372"/>
          <w:tab w:val="center" w:pos="7080"/>
          <w:tab w:val="center" w:pos="7788"/>
          <w:tab w:val="center" w:pos="8496"/>
          <w:tab w:val="center" w:pos="9204"/>
        </w:tabs>
        <w:spacing w:after="205" w:line="259" w:lineRule="auto"/>
        <w:rPr>
          <w:rFonts w:ascii="Arial" w:eastAsia="Arial" w:hAnsi="Arial" w:cs="Arial"/>
          <w:color w:val="000000"/>
          <w:lang w:eastAsia="fr-BE"/>
        </w:rPr>
      </w:pPr>
      <w:r w:rsidRPr="005C20D3">
        <w:rPr>
          <w:rFonts w:ascii="Arial" w:eastAsia="Arial" w:hAnsi="Arial" w:cs="Arial"/>
          <w:noProof/>
          <w:color w:val="000000"/>
          <w:lang w:eastAsia="fr-BE"/>
        </w:rPr>
        <w:drawing>
          <wp:inline distT="0" distB="0" distL="0" distR="0">
            <wp:extent cx="3329305" cy="1171575"/>
            <wp:effectExtent l="0" t="0" r="0" b="0"/>
            <wp:docPr id="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305" cy="1171575"/>
                    </a:xfrm>
                    <a:prstGeom prst="rect">
                      <a:avLst/>
                    </a:prstGeom>
                    <a:noFill/>
                    <a:ln>
                      <a:noFill/>
                    </a:ln>
                  </pic:spPr>
                </pic:pic>
              </a:graphicData>
            </a:graphic>
          </wp:inline>
        </w:drawing>
      </w:r>
      <w:r w:rsidR="005C20D3" w:rsidRPr="005C20D3">
        <w:rPr>
          <w:rFonts w:ascii="Arial" w:eastAsia="Arial" w:hAnsi="Arial" w:cs="Arial"/>
          <w:color w:val="000000"/>
          <w:sz w:val="24"/>
          <w:lang w:eastAsia="fr-BE"/>
        </w:rPr>
        <w:t xml:space="preserve"> </w:t>
      </w:r>
      <w:r w:rsidR="005C20D3" w:rsidRPr="005C20D3">
        <w:rPr>
          <w:rFonts w:ascii="Arial" w:eastAsia="Arial" w:hAnsi="Arial" w:cs="Arial"/>
          <w:color w:val="000000"/>
          <w:sz w:val="24"/>
          <w:lang w:eastAsia="fr-BE"/>
        </w:rPr>
        <w:tab/>
        <w:t xml:space="preserve"> </w:t>
      </w:r>
      <w:r w:rsidR="005C20D3" w:rsidRPr="005C20D3">
        <w:rPr>
          <w:rFonts w:ascii="Arial" w:eastAsia="Arial" w:hAnsi="Arial" w:cs="Arial"/>
          <w:color w:val="000000"/>
          <w:sz w:val="24"/>
          <w:lang w:eastAsia="fr-BE"/>
        </w:rPr>
        <w:tab/>
        <w:t xml:space="preserve"> </w:t>
      </w:r>
      <w:r w:rsidR="005C20D3" w:rsidRPr="005C20D3">
        <w:rPr>
          <w:rFonts w:ascii="Arial" w:eastAsia="Arial" w:hAnsi="Arial" w:cs="Arial"/>
          <w:color w:val="000000"/>
          <w:sz w:val="24"/>
          <w:lang w:eastAsia="fr-BE"/>
        </w:rPr>
        <w:tab/>
        <w:t xml:space="preserve"> </w:t>
      </w:r>
      <w:r w:rsidR="005C20D3" w:rsidRPr="005C20D3">
        <w:rPr>
          <w:rFonts w:ascii="Arial" w:eastAsia="Arial" w:hAnsi="Arial" w:cs="Arial"/>
          <w:color w:val="000000"/>
          <w:sz w:val="24"/>
          <w:lang w:eastAsia="fr-BE"/>
        </w:rPr>
        <w:tab/>
        <w:t xml:space="preserve"> </w:t>
      </w:r>
      <w:r w:rsidR="005C20D3" w:rsidRPr="005C20D3">
        <w:rPr>
          <w:rFonts w:ascii="Arial" w:eastAsia="Arial" w:hAnsi="Arial" w:cs="Arial"/>
          <w:color w:val="000000"/>
          <w:sz w:val="24"/>
          <w:lang w:eastAsia="fr-BE"/>
        </w:rPr>
        <w:tab/>
        <w:t xml:space="preserve"> </w:t>
      </w:r>
      <w:r w:rsidR="005C20D3" w:rsidRPr="005C20D3">
        <w:rPr>
          <w:rFonts w:ascii="Arial" w:eastAsia="Arial" w:hAnsi="Arial" w:cs="Arial"/>
          <w:color w:val="000000"/>
          <w:sz w:val="24"/>
          <w:lang w:eastAsia="fr-BE"/>
        </w:rPr>
        <w:tab/>
      </w:r>
      <w:r w:rsidR="005C20D3" w:rsidRPr="005C20D3">
        <w:rPr>
          <w:rFonts w:ascii="Arial" w:eastAsia="Arial" w:hAnsi="Arial" w:cs="Arial"/>
          <w:color w:val="000000"/>
          <w:lang w:eastAsia="fr-BE"/>
        </w:rPr>
        <w:t xml:space="preserve"> </w:t>
      </w:r>
    </w:p>
    <w:p w:rsidR="005C20D3" w:rsidRPr="005C20D3" w:rsidRDefault="005C20D3" w:rsidP="005C20D3">
      <w:pPr>
        <w:tabs>
          <w:tab w:val="center" w:pos="4956"/>
          <w:tab w:val="center" w:pos="5664"/>
          <w:tab w:val="center" w:pos="6372"/>
          <w:tab w:val="center" w:pos="7080"/>
          <w:tab w:val="center" w:pos="7788"/>
          <w:tab w:val="center" w:pos="8496"/>
        </w:tabs>
        <w:spacing w:after="232" w:line="216" w:lineRule="auto"/>
        <w:ind w:left="-15"/>
        <w:rPr>
          <w:rFonts w:ascii="Arial" w:eastAsia="Arial" w:hAnsi="Arial" w:cs="Arial"/>
          <w:color w:val="000000"/>
          <w:lang w:eastAsia="fr-BE"/>
        </w:rPr>
      </w:pPr>
      <w:r w:rsidRPr="005C20D3">
        <w:rPr>
          <w:rFonts w:ascii="Arial" w:eastAsia="Arial" w:hAnsi="Arial" w:cs="Arial"/>
          <w:color w:val="000000"/>
          <w:sz w:val="26"/>
          <w:lang w:eastAsia="fr-BE"/>
        </w:rPr>
        <w:t xml:space="preserve">CONSEIL   WALLONIE – BRUXELLES </w:t>
      </w:r>
      <w:r w:rsidRPr="005C20D3">
        <w:rPr>
          <w:rFonts w:ascii="Arial" w:eastAsia="Arial" w:hAnsi="Arial" w:cs="Arial"/>
          <w:color w:val="000000"/>
          <w:sz w:val="26"/>
          <w:lang w:eastAsia="fr-BE"/>
        </w:rPr>
        <w:tab/>
        <w:t xml:space="preserve"> </w:t>
      </w:r>
      <w:r w:rsidRPr="005C20D3">
        <w:rPr>
          <w:rFonts w:ascii="Arial" w:eastAsia="Arial" w:hAnsi="Arial" w:cs="Arial"/>
          <w:color w:val="000000"/>
          <w:sz w:val="26"/>
          <w:lang w:eastAsia="fr-BE"/>
        </w:rPr>
        <w:tab/>
        <w:t xml:space="preserve"> </w:t>
      </w:r>
      <w:r w:rsidRPr="005C20D3">
        <w:rPr>
          <w:rFonts w:ascii="Arial" w:eastAsia="Arial" w:hAnsi="Arial" w:cs="Arial"/>
          <w:color w:val="000000"/>
          <w:sz w:val="26"/>
          <w:lang w:eastAsia="fr-BE"/>
        </w:rPr>
        <w:tab/>
        <w:t xml:space="preserve"> </w:t>
      </w:r>
      <w:r w:rsidRPr="005C20D3">
        <w:rPr>
          <w:rFonts w:ascii="Arial" w:eastAsia="Arial" w:hAnsi="Arial" w:cs="Arial"/>
          <w:color w:val="000000"/>
          <w:sz w:val="26"/>
          <w:lang w:eastAsia="fr-BE"/>
        </w:rPr>
        <w:tab/>
        <w:t xml:space="preserve"> </w:t>
      </w:r>
      <w:r w:rsidRPr="005C20D3">
        <w:rPr>
          <w:rFonts w:ascii="Arial" w:eastAsia="Arial" w:hAnsi="Arial" w:cs="Arial"/>
          <w:color w:val="000000"/>
          <w:sz w:val="26"/>
          <w:lang w:eastAsia="fr-BE"/>
        </w:rPr>
        <w:tab/>
        <w:t xml:space="preserve"> </w:t>
      </w:r>
      <w:r w:rsidRPr="005C20D3">
        <w:rPr>
          <w:rFonts w:ascii="Arial" w:eastAsia="Arial" w:hAnsi="Arial" w:cs="Arial"/>
          <w:color w:val="000000"/>
          <w:sz w:val="26"/>
          <w:lang w:eastAsia="fr-BE"/>
        </w:rPr>
        <w:tab/>
        <w:t xml:space="preserve"> </w:t>
      </w:r>
    </w:p>
    <w:p w:rsidR="005C20D3" w:rsidRPr="005C20D3" w:rsidRDefault="005C20D3" w:rsidP="005C20D3">
      <w:pPr>
        <w:spacing w:after="0" w:line="216" w:lineRule="auto"/>
        <w:ind w:left="-5" w:right="4314" w:hanging="10"/>
        <w:rPr>
          <w:rFonts w:ascii="Arial" w:eastAsia="Arial" w:hAnsi="Arial" w:cs="Arial"/>
          <w:color w:val="000000"/>
          <w:lang w:eastAsia="fr-BE"/>
        </w:rPr>
      </w:pPr>
      <w:r w:rsidRPr="005C20D3">
        <w:rPr>
          <w:rFonts w:ascii="Arial" w:eastAsia="Arial" w:hAnsi="Arial" w:cs="Arial"/>
          <w:color w:val="000000"/>
          <w:sz w:val="26"/>
          <w:lang w:eastAsia="fr-BE"/>
        </w:rPr>
        <w:t xml:space="preserve">DE  LA  COOPERATION  INTERNATIONALE </w:t>
      </w:r>
    </w:p>
    <w:p w:rsidR="005C20D3" w:rsidRPr="005C20D3" w:rsidRDefault="005C20D3" w:rsidP="005C20D3">
      <w:pPr>
        <w:spacing w:after="3" w:line="259" w:lineRule="auto"/>
        <w:ind w:left="-5" w:right="4726" w:hanging="10"/>
        <w:rPr>
          <w:rFonts w:ascii="Arial" w:eastAsia="Arial" w:hAnsi="Arial" w:cs="Arial"/>
          <w:color w:val="000000"/>
          <w:lang w:eastAsia="fr-BE"/>
        </w:rPr>
      </w:pPr>
    </w:p>
    <w:p w:rsidR="005C20D3" w:rsidRPr="005C20D3" w:rsidRDefault="005C20D3" w:rsidP="005C20D3">
      <w:pPr>
        <w:spacing w:after="3" w:line="259" w:lineRule="auto"/>
        <w:ind w:left="-5" w:right="4726" w:hanging="10"/>
        <w:rPr>
          <w:rFonts w:ascii="Arial" w:eastAsia="Arial" w:hAnsi="Arial" w:cs="Arial"/>
          <w:color w:val="000000"/>
          <w:lang w:eastAsia="fr-BE"/>
        </w:rPr>
      </w:pPr>
    </w:p>
    <w:p w:rsidR="005C20D3" w:rsidRPr="005C20D3" w:rsidRDefault="005C20D3" w:rsidP="005C20D3">
      <w:pPr>
        <w:spacing w:after="3" w:line="259" w:lineRule="auto"/>
        <w:ind w:left="-5" w:right="4726" w:hanging="10"/>
        <w:rPr>
          <w:rFonts w:ascii="Arial" w:eastAsia="Arial" w:hAnsi="Arial" w:cs="Arial"/>
          <w:color w:val="000000"/>
          <w:lang w:eastAsia="fr-BE"/>
        </w:rPr>
      </w:pPr>
    </w:p>
    <w:p w:rsidR="005C20D3" w:rsidRPr="005C20D3" w:rsidRDefault="005C20D3" w:rsidP="005C20D3">
      <w:pPr>
        <w:spacing w:after="3" w:line="259" w:lineRule="auto"/>
        <w:ind w:left="-5" w:right="4726" w:hanging="10"/>
        <w:rPr>
          <w:rFonts w:ascii="Arial" w:eastAsia="Arial" w:hAnsi="Arial" w:cs="Arial"/>
          <w:color w:val="000000"/>
          <w:lang w:eastAsia="fr-BE"/>
        </w:rPr>
      </w:pPr>
    </w:p>
    <w:p w:rsidR="005C20D3" w:rsidRPr="005C20D3" w:rsidRDefault="005C20D3" w:rsidP="005C20D3">
      <w:pPr>
        <w:spacing w:after="3" w:line="259" w:lineRule="auto"/>
        <w:ind w:left="-5" w:right="4726" w:hanging="10"/>
        <w:rPr>
          <w:rFonts w:ascii="Arial" w:eastAsia="Arial" w:hAnsi="Arial" w:cs="Arial"/>
          <w:color w:val="000000"/>
          <w:lang w:eastAsia="fr-BE"/>
        </w:rPr>
      </w:pPr>
    </w:p>
    <w:p w:rsidR="005C20D3" w:rsidRDefault="005C20D3" w:rsidP="005C20D3">
      <w:pPr>
        <w:spacing w:after="3" w:line="259" w:lineRule="auto"/>
        <w:ind w:left="-5" w:right="4726" w:hanging="10"/>
        <w:rPr>
          <w:rFonts w:ascii="Arial" w:eastAsia="Arial" w:hAnsi="Arial" w:cs="Arial"/>
          <w:color w:val="000000"/>
          <w:sz w:val="50"/>
          <w:lang w:eastAsia="fr-BE"/>
        </w:rPr>
      </w:pPr>
    </w:p>
    <w:p w:rsidR="00E44B65" w:rsidRDefault="00E44B65" w:rsidP="005C20D3">
      <w:pPr>
        <w:spacing w:after="163" w:line="259" w:lineRule="auto"/>
        <w:ind w:left="11" w:hanging="10"/>
        <w:jc w:val="center"/>
        <w:rPr>
          <w:rFonts w:ascii="Arial" w:eastAsia="Arial" w:hAnsi="Arial" w:cs="Arial"/>
          <w:b/>
          <w:color w:val="0958B1"/>
          <w:sz w:val="40"/>
          <w:lang w:eastAsia="fr-BE"/>
        </w:rPr>
      </w:pPr>
      <w:bookmarkStart w:id="0" w:name="_GoBack"/>
      <w:bookmarkEnd w:id="0"/>
    </w:p>
    <w:p w:rsidR="005C20D3" w:rsidRDefault="005C20D3" w:rsidP="005C20D3">
      <w:pPr>
        <w:spacing w:after="34" w:line="259" w:lineRule="auto"/>
        <w:ind w:left="149" w:hanging="10"/>
        <w:jc w:val="center"/>
        <w:rPr>
          <w:rFonts w:ascii="Arial" w:eastAsia="Arial" w:hAnsi="Arial" w:cs="Arial"/>
          <w:color w:val="000000"/>
          <w:sz w:val="50"/>
          <w:lang w:eastAsia="fr-BE"/>
        </w:rPr>
      </w:pPr>
    </w:p>
    <w:p w:rsidR="005C20D3" w:rsidRPr="005C20D3" w:rsidRDefault="005C20D3" w:rsidP="005C20D3">
      <w:pPr>
        <w:spacing w:after="34" w:line="259" w:lineRule="auto"/>
        <w:ind w:left="149" w:hanging="10"/>
        <w:jc w:val="center"/>
        <w:rPr>
          <w:rFonts w:ascii="Arial" w:eastAsia="Arial" w:hAnsi="Arial" w:cs="Arial"/>
          <w:color w:val="000000"/>
          <w:lang w:eastAsia="fr-BE"/>
        </w:rPr>
      </w:pPr>
    </w:p>
    <w:p w:rsidR="005C20D3" w:rsidRDefault="005C20D3" w:rsidP="005C20D3">
      <w:pPr>
        <w:spacing w:after="163" w:line="259" w:lineRule="auto"/>
        <w:ind w:left="11" w:right="1" w:hanging="10"/>
        <w:jc w:val="center"/>
        <w:rPr>
          <w:rFonts w:ascii="Arial" w:eastAsia="Arial" w:hAnsi="Arial" w:cs="Arial"/>
          <w:b/>
          <w:color w:val="0958B1"/>
          <w:sz w:val="40"/>
          <w:lang w:eastAsia="fr-BE"/>
        </w:rPr>
      </w:pPr>
      <w:r>
        <w:rPr>
          <w:rFonts w:ascii="Arial" w:eastAsia="Arial" w:hAnsi="Arial" w:cs="Arial"/>
          <w:b/>
          <w:color w:val="0958B1"/>
          <w:sz w:val="40"/>
          <w:lang w:eastAsia="fr-BE"/>
        </w:rPr>
        <w:t xml:space="preserve">AVIS D’INITIATIVE </w:t>
      </w:r>
      <w:r w:rsidR="00250A8B">
        <w:rPr>
          <w:rFonts w:ascii="Arial" w:eastAsia="Arial" w:hAnsi="Arial" w:cs="Arial"/>
          <w:b/>
          <w:color w:val="0958B1"/>
          <w:sz w:val="40"/>
          <w:lang w:eastAsia="fr-BE"/>
        </w:rPr>
        <w:t xml:space="preserve">2016/04 </w:t>
      </w:r>
      <w:r>
        <w:rPr>
          <w:rFonts w:ascii="Arial" w:eastAsia="Arial" w:hAnsi="Arial" w:cs="Arial"/>
          <w:b/>
          <w:color w:val="0958B1"/>
          <w:sz w:val="40"/>
          <w:lang w:eastAsia="fr-BE"/>
        </w:rPr>
        <w:t xml:space="preserve">SUR </w:t>
      </w:r>
    </w:p>
    <w:p w:rsidR="005C20D3" w:rsidRDefault="005C20D3" w:rsidP="005C20D3">
      <w:pPr>
        <w:spacing w:after="163" w:line="259" w:lineRule="auto"/>
        <w:ind w:left="11" w:right="1" w:hanging="10"/>
        <w:jc w:val="center"/>
        <w:rPr>
          <w:rFonts w:ascii="Arial" w:eastAsia="Arial" w:hAnsi="Arial" w:cs="Arial"/>
          <w:b/>
          <w:color w:val="0958B1"/>
          <w:sz w:val="40"/>
          <w:lang w:eastAsia="fr-BE"/>
        </w:rPr>
      </w:pPr>
      <w:r>
        <w:rPr>
          <w:rFonts w:ascii="Arial" w:eastAsia="Arial" w:hAnsi="Arial" w:cs="Arial"/>
          <w:b/>
          <w:color w:val="0958B1"/>
          <w:sz w:val="40"/>
          <w:lang w:eastAsia="fr-BE"/>
        </w:rPr>
        <w:t xml:space="preserve">L’IMPACT DU TTIP ET DU CETA SUR LES PAYS </w:t>
      </w:r>
    </w:p>
    <w:p w:rsidR="005C20D3" w:rsidRDefault="005C20D3" w:rsidP="005C20D3">
      <w:pPr>
        <w:spacing w:after="163" w:line="259" w:lineRule="auto"/>
        <w:ind w:left="11" w:right="1" w:hanging="10"/>
        <w:jc w:val="center"/>
        <w:rPr>
          <w:rFonts w:ascii="Arial" w:eastAsia="Arial" w:hAnsi="Arial" w:cs="Arial"/>
          <w:b/>
          <w:color w:val="0958B1"/>
          <w:sz w:val="40"/>
          <w:lang w:eastAsia="fr-BE"/>
        </w:rPr>
      </w:pPr>
      <w:r>
        <w:rPr>
          <w:rFonts w:ascii="Arial" w:eastAsia="Arial" w:hAnsi="Arial" w:cs="Arial"/>
          <w:b/>
          <w:color w:val="0958B1"/>
          <w:sz w:val="40"/>
          <w:lang w:eastAsia="fr-BE"/>
        </w:rPr>
        <w:t>EN DEVELOPPEMENT</w:t>
      </w:r>
    </w:p>
    <w:p w:rsidR="00D263A1" w:rsidRDefault="00D263A1" w:rsidP="005C20D3">
      <w:pPr>
        <w:spacing w:after="163" w:line="259" w:lineRule="auto"/>
        <w:ind w:left="11" w:right="1" w:hanging="10"/>
        <w:jc w:val="center"/>
        <w:rPr>
          <w:rFonts w:ascii="Arial" w:eastAsia="Arial" w:hAnsi="Arial" w:cs="Arial"/>
          <w:color w:val="000000"/>
          <w:lang w:eastAsia="fr-BE"/>
        </w:rPr>
      </w:pPr>
    </w:p>
    <w:p w:rsidR="00D263A1" w:rsidRDefault="00D263A1" w:rsidP="005C20D3">
      <w:pPr>
        <w:spacing w:after="163" w:line="259" w:lineRule="auto"/>
        <w:ind w:left="11" w:right="1" w:hanging="10"/>
        <w:jc w:val="center"/>
        <w:rPr>
          <w:rFonts w:ascii="Arial" w:eastAsia="Arial" w:hAnsi="Arial" w:cs="Arial"/>
          <w:color w:val="000000"/>
          <w:lang w:eastAsia="fr-BE"/>
        </w:rPr>
      </w:pPr>
    </w:p>
    <w:p w:rsidR="00D263A1" w:rsidRDefault="00D263A1" w:rsidP="005C20D3">
      <w:pPr>
        <w:spacing w:after="163" w:line="259" w:lineRule="auto"/>
        <w:ind w:left="11" w:right="1" w:hanging="10"/>
        <w:jc w:val="center"/>
        <w:rPr>
          <w:rFonts w:ascii="Arial" w:eastAsia="Arial" w:hAnsi="Arial" w:cs="Arial"/>
          <w:color w:val="000000"/>
          <w:lang w:eastAsia="fr-BE"/>
        </w:rPr>
      </w:pPr>
    </w:p>
    <w:p w:rsidR="00D263A1" w:rsidRDefault="00D263A1" w:rsidP="005C20D3">
      <w:pPr>
        <w:spacing w:after="163" w:line="259" w:lineRule="auto"/>
        <w:ind w:left="11" w:right="1" w:hanging="10"/>
        <w:jc w:val="center"/>
        <w:rPr>
          <w:rFonts w:ascii="Arial" w:eastAsia="Arial" w:hAnsi="Arial" w:cs="Arial"/>
          <w:color w:val="000000"/>
          <w:lang w:eastAsia="fr-BE"/>
        </w:rPr>
      </w:pPr>
      <w:r>
        <w:rPr>
          <w:rFonts w:ascii="Arial" w:eastAsia="Arial" w:hAnsi="Arial" w:cs="Arial"/>
          <w:color w:val="000000"/>
          <w:lang w:eastAsia="fr-BE"/>
        </w:rPr>
        <w:t>Approuvé par l’Assemblé plénière</w:t>
      </w:r>
    </w:p>
    <w:p w:rsidR="00D263A1" w:rsidRPr="00D263A1" w:rsidRDefault="00D263A1" w:rsidP="005C20D3">
      <w:pPr>
        <w:spacing w:after="163" w:line="259" w:lineRule="auto"/>
        <w:ind w:left="11" w:right="1" w:hanging="10"/>
        <w:jc w:val="center"/>
        <w:rPr>
          <w:rFonts w:ascii="Arial" w:eastAsia="Arial" w:hAnsi="Arial" w:cs="Arial"/>
          <w:i/>
          <w:color w:val="000000"/>
          <w:lang w:eastAsia="fr-BE"/>
        </w:rPr>
      </w:pPr>
      <w:r w:rsidRPr="00D263A1">
        <w:rPr>
          <w:rFonts w:ascii="Arial" w:eastAsia="Arial" w:hAnsi="Arial" w:cs="Arial"/>
          <w:i/>
          <w:color w:val="000000"/>
          <w:lang w:eastAsia="fr-BE"/>
        </w:rPr>
        <w:t>Octobre 2016</w:t>
      </w:r>
    </w:p>
    <w:p w:rsidR="005C20D3" w:rsidRPr="005C20D3" w:rsidRDefault="005C20D3" w:rsidP="005C20D3">
      <w:pPr>
        <w:spacing w:after="70" w:line="259" w:lineRule="auto"/>
        <w:ind w:left="-5" w:right="4726" w:hanging="10"/>
        <w:rPr>
          <w:rFonts w:ascii="Arial" w:eastAsia="Arial" w:hAnsi="Arial" w:cs="Arial"/>
          <w:color w:val="000000"/>
          <w:lang w:eastAsia="fr-BE"/>
        </w:rPr>
      </w:pPr>
    </w:p>
    <w:p w:rsidR="005C20D3" w:rsidRDefault="005C20D3" w:rsidP="005C20D3">
      <w:pPr>
        <w:spacing w:after="3" w:line="259" w:lineRule="auto"/>
        <w:ind w:left="-5" w:right="4726" w:hanging="10"/>
        <w:rPr>
          <w:rFonts w:ascii="Arial" w:eastAsia="Arial" w:hAnsi="Arial" w:cs="Arial"/>
          <w:color w:val="000000"/>
          <w:lang w:eastAsia="fr-BE"/>
        </w:rPr>
      </w:pPr>
    </w:p>
    <w:p w:rsidR="005C20D3" w:rsidRDefault="005C20D3" w:rsidP="005C20D3">
      <w:pPr>
        <w:spacing w:after="3" w:line="259" w:lineRule="auto"/>
        <w:ind w:left="-5" w:right="4726" w:hanging="10"/>
        <w:rPr>
          <w:rFonts w:ascii="Arial" w:eastAsia="Arial" w:hAnsi="Arial" w:cs="Arial"/>
          <w:color w:val="000000"/>
          <w:lang w:eastAsia="fr-BE"/>
        </w:rPr>
      </w:pPr>
    </w:p>
    <w:p w:rsidR="005C20D3" w:rsidRDefault="005C20D3" w:rsidP="005C20D3">
      <w:pPr>
        <w:spacing w:after="3" w:line="259" w:lineRule="auto"/>
        <w:ind w:left="-5" w:right="4726" w:hanging="10"/>
        <w:rPr>
          <w:rFonts w:ascii="Arial" w:eastAsia="Arial" w:hAnsi="Arial" w:cs="Arial"/>
          <w:color w:val="000000"/>
          <w:lang w:eastAsia="fr-BE"/>
        </w:rPr>
      </w:pPr>
    </w:p>
    <w:p w:rsidR="005C20D3" w:rsidRPr="005C20D3" w:rsidRDefault="005C20D3" w:rsidP="005C20D3">
      <w:pPr>
        <w:spacing w:after="3" w:line="259" w:lineRule="auto"/>
        <w:ind w:left="-5" w:right="4726" w:hanging="10"/>
        <w:rPr>
          <w:rFonts w:ascii="Arial" w:eastAsia="Arial" w:hAnsi="Arial" w:cs="Arial"/>
          <w:color w:val="000000"/>
          <w:lang w:eastAsia="fr-BE"/>
        </w:rPr>
      </w:pPr>
    </w:p>
    <w:p w:rsidR="005C20D3" w:rsidRPr="005C20D3" w:rsidRDefault="005C20D3" w:rsidP="005C20D3">
      <w:pPr>
        <w:spacing w:after="3" w:line="259" w:lineRule="auto"/>
        <w:ind w:left="-5" w:right="4726" w:hanging="10"/>
        <w:rPr>
          <w:rFonts w:ascii="Arial" w:eastAsia="Arial" w:hAnsi="Arial" w:cs="Arial"/>
          <w:color w:val="000000"/>
          <w:lang w:eastAsia="fr-BE"/>
        </w:rPr>
      </w:pPr>
    </w:p>
    <w:p w:rsidR="005C20D3" w:rsidRPr="005C20D3" w:rsidRDefault="005C20D3" w:rsidP="005C20D3">
      <w:pPr>
        <w:spacing w:after="0" w:line="322" w:lineRule="auto"/>
        <w:ind w:right="3019" w:firstLine="3019"/>
        <w:rPr>
          <w:rFonts w:ascii="Arial" w:eastAsia="Arial" w:hAnsi="Arial" w:cs="Arial"/>
          <w:color w:val="000000"/>
          <w:lang w:eastAsia="fr-BE"/>
        </w:rPr>
      </w:pPr>
      <w:r>
        <w:rPr>
          <w:rFonts w:ascii="Arial" w:eastAsia="Arial" w:hAnsi="Arial" w:cs="Arial"/>
          <w:i/>
          <w:color w:val="000000"/>
          <w:sz w:val="24"/>
          <w:lang w:eastAsia="fr-BE"/>
        </w:rPr>
        <w:br w:type="page"/>
      </w:r>
    </w:p>
    <w:p w:rsidR="007D34AA" w:rsidRPr="00C3283F" w:rsidRDefault="007D34AA" w:rsidP="007D34AA">
      <w:pPr>
        <w:jc w:val="center"/>
        <w:rPr>
          <w:b/>
          <w:sz w:val="28"/>
          <w:szCs w:val="28"/>
        </w:rPr>
      </w:pPr>
      <w:r w:rsidRPr="00C3283F">
        <w:rPr>
          <w:b/>
          <w:sz w:val="28"/>
          <w:szCs w:val="28"/>
        </w:rPr>
        <w:lastRenderedPageBreak/>
        <w:t>CWBCI - Avis d’initiative</w:t>
      </w:r>
      <w:r w:rsidR="00C3283F" w:rsidRPr="00C3283F">
        <w:rPr>
          <w:b/>
          <w:sz w:val="28"/>
          <w:szCs w:val="28"/>
        </w:rPr>
        <w:t xml:space="preserve"> sur l’impact du TTIP</w:t>
      </w:r>
      <w:r w:rsidR="00487129">
        <w:rPr>
          <w:b/>
          <w:sz w:val="28"/>
          <w:szCs w:val="28"/>
        </w:rPr>
        <w:t xml:space="preserve"> et du CETA</w:t>
      </w:r>
      <w:r w:rsidR="00C3283F" w:rsidRPr="00C3283F">
        <w:rPr>
          <w:b/>
          <w:sz w:val="28"/>
          <w:szCs w:val="28"/>
        </w:rPr>
        <w:t xml:space="preserve"> sur les pays en développement</w:t>
      </w:r>
    </w:p>
    <w:p w:rsidR="00CB5C9B" w:rsidRDefault="00C3283F" w:rsidP="00C3283F">
      <w:pPr>
        <w:jc w:val="both"/>
      </w:pPr>
      <w:r>
        <w:t xml:space="preserve">La nouvelle génération de traités sur le commerce et l’investissement négociés par l’Union européenne d’une part et les Etats-Unis (TTIP) et le Canada (CETA) d’autre part auraient un impact négatif sur les pays en développement. C’est pourquoi le CWBCI recommande aux parlements et aux gouvernements de la Région wallonne, de la Région bruxelloise, de la Fédération Wallonie-Bruxelles et de la Communauté germanophone de ne pas les ratifier. </w:t>
      </w:r>
    </w:p>
    <w:p w:rsidR="00B52374" w:rsidRDefault="00A65F6C" w:rsidP="00B52374">
      <w:pPr>
        <w:numPr>
          <w:ilvl w:val="0"/>
          <w:numId w:val="3"/>
        </w:numPr>
        <w:jc w:val="both"/>
      </w:pPr>
      <w:r>
        <w:t>Un des principaux objectifs du TTIP consiste à adopter des normes transatlantiques communes</w:t>
      </w:r>
      <w:r w:rsidR="00C3283F" w:rsidRPr="006C43B7">
        <w:t xml:space="preserve"> en vue d</w:t>
      </w:r>
      <w:r>
        <w:t xml:space="preserve">e les </w:t>
      </w:r>
      <w:r w:rsidR="00C3283F" w:rsidRPr="006C43B7">
        <w:t xml:space="preserve">imposer ensuite </w:t>
      </w:r>
      <w:r>
        <w:t>au reste du monde</w:t>
      </w:r>
      <w:r w:rsidR="0025579D">
        <w:rPr>
          <w:rStyle w:val="Appelnotedebasdep"/>
        </w:rPr>
        <w:footnoteReference w:id="1"/>
      </w:r>
      <w:r>
        <w:t>. L</w:t>
      </w:r>
      <w:r w:rsidR="00C3283F" w:rsidRPr="006C43B7">
        <w:t xml:space="preserve">e message envoyé aux pays émergents </w:t>
      </w:r>
      <w:r w:rsidR="00C3283F">
        <w:t>est</w:t>
      </w:r>
      <w:r w:rsidR="00C3283F" w:rsidRPr="006C43B7">
        <w:t xml:space="preserve"> </w:t>
      </w:r>
      <w:r>
        <w:t xml:space="preserve">dès lors </w:t>
      </w:r>
      <w:r w:rsidR="00C3283F" w:rsidRPr="006C43B7">
        <w:t xml:space="preserve">sans équivoque : « The West </w:t>
      </w:r>
      <w:proofErr w:type="spellStart"/>
      <w:r w:rsidR="00C3283F" w:rsidRPr="006C43B7">
        <w:t>is</w:t>
      </w:r>
      <w:proofErr w:type="spellEnd"/>
      <w:r w:rsidR="00C3283F" w:rsidRPr="006C43B7">
        <w:t xml:space="preserve"> </w:t>
      </w:r>
      <w:proofErr w:type="spellStart"/>
      <w:r w:rsidR="00C3283F" w:rsidRPr="006C43B7">
        <w:t>against</w:t>
      </w:r>
      <w:proofErr w:type="spellEnd"/>
      <w:r w:rsidR="00C3283F" w:rsidRPr="006C43B7">
        <w:t xml:space="preserve"> the </w:t>
      </w:r>
      <w:proofErr w:type="spellStart"/>
      <w:r w:rsidR="00C3283F" w:rsidRPr="006C43B7">
        <w:t>Rest</w:t>
      </w:r>
      <w:proofErr w:type="spellEnd"/>
      <w:r w:rsidR="00C3283F" w:rsidRPr="006C43B7">
        <w:t xml:space="preserve"> ». Ce faisant, le TTIP est censé forcer la Chine </w:t>
      </w:r>
      <w:r>
        <w:t xml:space="preserve">et les autres BRICS </w:t>
      </w:r>
      <w:r w:rsidR="00C3283F" w:rsidRPr="006C43B7">
        <w:t>à accepter à terme un programme de libéralisation selon les termes initialement conclus avec les E</w:t>
      </w:r>
      <w:r w:rsidR="00C3283F">
        <w:t xml:space="preserve">tats-Unis ou, </w:t>
      </w:r>
      <w:r>
        <w:t>s’ils</w:t>
      </w:r>
      <w:r w:rsidR="00C3283F">
        <w:t xml:space="preserve"> refuse</w:t>
      </w:r>
      <w:r>
        <w:t>nt</w:t>
      </w:r>
      <w:r w:rsidR="00C3283F">
        <w:t>,</w:t>
      </w:r>
      <w:r>
        <w:t xml:space="preserve"> à les </w:t>
      </w:r>
      <w:r w:rsidR="00C3283F" w:rsidRPr="006C43B7">
        <w:t xml:space="preserve">isoler sur la scène commerciale mondiale. </w:t>
      </w:r>
      <w:r w:rsidR="00A6010A">
        <w:t xml:space="preserve">Ce contournement du cadre multilatéral de l’OMC a pour effet d’exclure les pays en développement des négociations des règles du commerce mondial. </w:t>
      </w:r>
      <w:r>
        <w:t>En réaction, les BRICS ne manquent</w:t>
      </w:r>
      <w:r w:rsidRPr="006C43B7">
        <w:t xml:space="preserve"> pas d’organiser </w:t>
      </w:r>
      <w:r>
        <w:t>leurs</w:t>
      </w:r>
      <w:r w:rsidRPr="006C43B7">
        <w:t xml:space="preserve"> propres coalitions </w:t>
      </w:r>
      <w:r w:rsidR="00A6010A">
        <w:t>rivales</w:t>
      </w:r>
      <w:r w:rsidRPr="006C43B7">
        <w:t xml:space="preserve"> en vue de contrer les visées hégémoniques occidentales</w:t>
      </w:r>
      <w:r>
        <w:t>, avec tout ce que cela implique en termes d’instabilité et d’insécurité mondiales</w:t>
      </w:r>
      <w:r w:rsidRPr="006C43B7">
        <w:rPr>
          <w:rStyle w:val="Appelnotedebasdep"/>
        </w:rPr>
        <w:footnoteReference w:id="2"/>
      </w:r>
      <w:r w:rsidRPr="006C43B7">
        <w:t xml:space="preserve">. </w:t>
      </w:r>
      <w:r>
        <w:t>Pourtant,</w:t>
      </w:r>
      <w:r w:rsidR="00C3283F" w:rsidRPr="006C43B7">
        <w:t xml:space="preserve"> la Chine</w:t>
      </w:r>
      <w:r>
        <w:t xml:space="preserve"> et les autres pays émergents</w:t>
      </w:r>
      <w:r w:rsidR="00C3283F" w:rsidRPr="006C43B7">
        <w:t xml:space="preserve"> </w:t>
      </w:r>
      <w:r>
        <w:t xml:space="preserve">sont </w:t>
      </w:r>
      <w:r w:rsidR="00C3283F" w:rsidRPr="006C43B7">
        <w:t>indispensable</w:t>
      </w:r>
      <w:r>
        <w:t>s</w:t>
      </w:r>
      <w:r w:rsidR="00C3283F" w:rsidRPr="006C43B7">
        <w:t xml:space="preserve"> pour régler les grands enjeux mondiaux – commerc</w:t>
      </w:r>
      <w:r>
        <w:t xml:space="preserve">iaux, monétaires, climatiques. La réponse aux enjeux mondiaux dans un monde multipolaire nécessite des accords multilatéraux que la logique géostratégique du TTIP risque de mettre à mal. </w:t>
      </w:r>
    </w:p>
    <w:p w:rsidR="00A65F6C" w:rsidRPr="00E57C82" w:rsidRDefault="00A65F6C" w:rsidP="00B52374">
      <w:pPr>
        <w:numPr>
          <w:ilvl w:val="0"/>
          <w:numId w:val="3"/>
        </w:numPr>
        <w:jc w:val="both"/>
      </w:pPr>
      <w:r w:rsidRPr="00B52374">
        <w:rPr>
          <w:rFonts w:cs="Folio-Light"/>
          <w:lang w:eastAsia="fr-BE"/>
        </w:rPr>
        <w:t>Les pays en développement, dont une part significative des revenus dépend des exportations vers l’UE et les États-Unis, perdraient d’importantes parts de marché. En effet, une étude produite par le Parlement européen établit que les partenaires commerciaux de l’UE et des États-Unis connaîtraient un recul économique significatif. En particulier, les pays en développement qui bénéficient pour la plupart d’accès préférentiels aux marchés européen et américain souffriraient d’une « érosion des préférences », puisque les exportations américaines et européennes verraient leur accès au marché transatlantique facilité</w:t>
      </w:r>
      <w:r w:rsidRPr="00B8788A">
        <w:rPr>
          <w:rStyle w:val="Appelnotedebasdep"/>
          <w:rFonts w:cs="Folio-Light"/>
          <w:lang w:eastAsia="fr-BE"/>
        </w:rPr>
        <w:footnoteReference w:id="3"/>
      </w:r>
      <w:r w:rsidRPr="00B52374">
        <w:rPr>
          <w:rFonts w:cs="Folio-Light"/>
          <w:lang w:eastAsia="fr-BE"/>
        </w:rPr>
        <w:t>. D’</w:t>
      </w:r>
      <w:r w:rsidR="00B8788A" w:rsidRPr="00B52374">
        <w:rPr>
          <w:rFonts w:cs="Folio-Light"/>
          <w:lang w:eastAsia="fr-BE"/>
        </w:rPr>
        <w:t xml:space="preserve">autres </w:t>
      </w:r>
      <w:r w:rsidRPr="00B52374">
        <w:rPr>
          <w:rFonts w:cs="Folio-Light"/>
          <w:lang w:eastAsia="fr-BE"/>
        </w:rPr>
        <w:t xml:space="preserve">études identifient </w:t>
      </w:r>
      <w:r w:rsidR="00B52374" w:rsidRPr="00B52374">
        <w:rPr>
          <w:rFonts w:cs="Folio-Light"/>
          <w:lang w:eastAsia="fr-BE"/>
        </w:rPr>
        <w:t>un recul</w:t>
      </w:r>
      <w:r w:rsidRPr="00B52374">
        <w:rPr>
          <w:rFonts w:cs="Folio-Light"/>
          <w:lang w:eastAsia="fr-BE"/>
        </w:rPr>
        <w:t xml:space="preserve"> des exportations jusqu’</w:t>
      </w:r>
      <w:r w:rsidR="00B8788A" w:rsidRPr="00B52374">
        <w:rPr>
          <w:rFonts w:cs="Folio-Light"/>
          <w:lang w:eastAsia="fr-BE"/>
        </w:rPr>
        <w:t xml:space="preserve">à </w:t>
      </w:r>
      <w:r w:rsidRPr="00B52374">
        <w:rPr>
          <w:rFonts w:cs="Folio-Light"/>
          <w:lang w:eastAsia="fr-BE"/>
        </w:rPr>
        <w:t>34% pour la Thaïlande ou l’Indonésie</w:t>
      </w:r>
      <w:r w:rsidR="00B8788A" w:rsidRPr="00B8788A">
        <w:rPr>
          <w:rStyle w:val="Appelnotedebasdep"/>
          <w:rFonts w:cs="Folio-Light"/>
          <w:lang w:eastAsia="fr-BE"/>
        </w:rPr>
        <w:footnoteReference w:id="4"/>
      </w:r>
      <w:r w:rsidRPr="00B52374">
        <w:rPr>
          <w:rFonts w:cs="Folio-Light"/>
          <w:lang w:eastAsia="fr-BE"/>
        </w:rPr>
        <w:t xml:space="preserve"> </w:t>
      </w:r>
      <w:r w:rsidR="00B8788A" w:rsidRPr="00B52374">
        <w:rPr>
          <w:rFonts w:cs="Folio-Light"/>
          <w:lang w:eastAsia="fr-BE"/>
        </w:rPr>
        <w:t xml:space="preserve">ou </w:t>
      </w:r>
      <w:r w:rsidRPr="00B52374">
        <w:rPr>
          <w:rFonts w:cs="Folio-Light"/>
          <w:lang w:eastAsia="fr-BE"/>
        </w:rPr>
        <w:t>encore des pertes significative</w:t>
      </w:r>
      <w:r w:rsidR="00B8788A" w:rsidRPr="00B52374">
        <w:rPr>
          <w:rFonts w:cs="Folio-Light"/>
          <w:lang w:eastAsia="fr-BE"/>
        </w:rPr>
        <w:t>s pour les pays les moins avancés (PMA)</w:t>
      </w:r>
      <w:r w:rsidRPr="00B52374">
        <w:rPr>
          <w:rFonts w:cs="Folio-Light"/>
          <w:lang w:eastAsia="fr-BE"/>
        </w:rPr>
        <w:t>, essentiellement situés en Afrique</w:t>
      </w:r>
      <w:r w:rsidR="00B8788A">
        <w:rPr>
          <w:rStyle w:val="Appelnotedebasdep"/>
          <w:rFonts w:cs="Folio-Light"/>
          <w:lang w:eastAsia="fr-BE"/>
        </w:rPr>
        <w:footnoteReference w:id="5"/>
      </w:r>
      <w:r w:rsidR="00B8788A" w:rsidRPr="00B52374">
        <w:rPr>
          <w:rFonts w:cs="Folio-Light"/>
          <w:lang w:eastAsia="fr-BE"/>
        </w:rPr>
        <w:t xml:space="preserve">. Enfin, selon </w:t>
      </w:r>
      <w:r w:rsidRPr="00B52374">
        <w:rPr>
          <w:rFonts w:cs="Folio-Light"/>
          <w:lang w:eastAsia="fr-BE"/>
        </w:rPr>
        <w:t>l’I</w:t>
      </w:r>
      <w:r w:rsidR="00B52374" w:rsidRPr="00B52374">
        <w:rPr>
          <w:rFonts w:cs="Folio-Light"/>
          <w:lang w:eastAsia="fr-BE"/>
        </w:rPr>
        <w:t>nstitut IFO</w:t>
      </w:r>
      <w:r w:rsidR="00B8788A" w:rsidRPr="00B52374">
        <w:rPr>
          <w:rFonts w:cs="Folio-Light"/>
          <w:lang w:eastAsia="fr-BE"/>
        </w:rPr>
        <w:t xml:space="preserve">, des pays </w:t>
      </w:r>
      <w:r w:rsidR="00B52374" w:rsidRPr="00B52374">
        <w:rPr>
          <w:rFonts w:cs="Folio-Light"/>
          <w:lang w:eastAsia="fr-BE"/>
        </w:rPr>
        <w:t xml:space="preserve">africains </w:t>
      </w:r>
      <w:r w:rsidR="00B8788A" w:rsidRPr="00B52374">
        <w:rPr>
          <w:rFonts w:cs="Folio-Light"/>
          <w:lang w:eastAsia="fr-BE"/>
        </w:rPr>
        <w:t xml:space="preserve">comme la Guinée ou </w:t>
      </w:r>
      <w:r w:rsidRPr="00B52374">
        <w:rPr>
          <w:rFonts w:cs="Folio-Light"/>
          <w:lang w:eastAsia="fr-BE"/>
        </w:rPr>
        <w:t>le Botswana pourraient voir leurs revenus</w:t>
      </w:r>
      <w:r w:rsidR="00B8788A" w:rsidRPr="00B52374">
        <w:rPr>
          <w:rFonts w:cs="Folio-Light"/>
          <w:lang w:eastAsia="fr-BE"/>
        </w:rPr>
        <w:t xml:space="preserve"> réels chuter de respectivement </w:t>
      </w:r>
      <w:r w:rsidRPr="00B52374">
        <w:rPr>
          <w:rFonts w:cs="Folio-Light"/>
          <w:lang w:eastAsia="fr-BE"/>
        </w:rPr>
        <w:t>7,4 et 4,1%</w:t>
      </w:r>
      <w:r w:rsidR="00B8788A" w:rsidRPr="00B8788A">
        <w:rPr>
          <w:rStyle w:val="Appelnotedebasdep"/>
          <w:rFonts w:cs="Folio-Light"/>
          <w:lang w:eastAsia="fr-BE"/>
        </w:rPr>
        <w:footnoteReference w:id="6"/>
      </w:r>
      <w:r w:rsidR="00B8788A" w:rsidRPr="00B52374">
        <w:rPr>
          <w:rFonts w:cs="Folio-Light"/>
          <w:lang w:eastAsia="fr-BE"/>
        </w:rPr>
        <w:t>.</w:t>
      </w:r>
    </w:p>
    <w:p w:rsidR="00CA2419" w:rsidRDefault="00E57C82" w:rsidP="00CA2419">
      <w:pPr>
        <w:numPr>
          <w:ilvl w:val="0"/>
          <w:numId w:val="3"/>
        </w:numPr>
        <w:jc w:val="both"/>
      </w:pPr>
      <w:r>
        <w:rPr>
          <w:rFonts w:cs="Folio-Light"/>
          <w:lang w:eastAsia="fr-BE"/>
        </w:rPr>
        <w:lastRenderedPageBreak/>
        <w:t>Les études d’impact</w:t>
      </w:r>
      <w:r w:rsidRPr="006C43B7">
        <w:rPr>
          <w:rStyle w:val="Appelnotedebasdep"/>
        </w:rPr>
        <w:footnoteReference w:id="7"/>
      </w:r>
      <w:r>
        <w:rPr>
          <w:rFonts w:cs="Folio-Light"/>
          <w:lang w:eastAsia="fr-BE"/>
        </w:rPr>
        <w:t xml:space="preserve"> </w:t>
      </w:r>
      <w:r w:rsidR="00A6010A">
        <w:rPr>
          <w:rFonts w:cs="Folio-Light"/>
          <w:lang w:eastAsia="fr-BE"/>
        </w:rPr>
        <w:t xml:space="preserve">du TTIP </w:t>
      </w:r>
      <w:r w:rsidR="00D15B7F">
        <w:rPr>
          <w:rFonts w:cs="Folio-Light"/>
          <w:lang w:eastAsia="fr-BE"/>
        </w:rPr>
        <w:t>et du CETA</w:t>
      </w:r>
      <w:r w:rsidR="008E0FC3">
        <w:rPr>
          <w:rStyle w:val="Appelnotedebasdep"/>
          <w:rFonts w:cs="Folio-Light"/>
          <w:lang w:eastAsia="fr-BE"/>
        </w:rPr>
        <w:footnoteReference w:id="8"/>
      </w:r>
      <w:r w:rsidR="00D15B7F">
        <w:rPr>
          <w:rFonts w:cs="Folio-Light"/>
          <w:lang w:eastAsia="fr-BE"/>
        </w:rPr>
        <w:t xml:space="preserve"> </w:t>
      </w:r>
      <w:r w:rsidR="00A6010A">
        <w:rPr>
          <w:rFonts w:cs="Folio-Light"/>
          <w:lang w:eastAsia="fr-BE"/>
        </w:rPr>
        <w:t>indiquent qu</w:t>
      </w:r>
      <w:r w:rsidR="00D15B7F">
        <w:rPr>
          <w:rFonts w:cs="Folio-Light"/>
          <w:lang w:eastAsia="fr-BE"/>
        </w:rPr>
        <w:t>e ces traités</w:t>
      </w:r>
      <w:r w:rsidR="00A6010A">
        <w:rPr>
          <w:rFonts w:cs="Folio-Light"/>
          <w:lang w:eastAsia="fr-BE"/>
        </w:rPr>
        <w:t xml:space="preserve"> entraînerai</w:t>
      </w:r>
      <w:r w:rsidR="00D15B7F">
        <w:rPr>
          <w:rFonts w:cs="Folio-Light"/>
          <w:lang w:eastAsia="fr-BE"/>
        </w:rPr>
        <w:t>en</w:t>
      </w:r>
      <w:r w:rsidR="00A6010A">
        <w:rPr>
          <w:rFonts w:cs="Folio-Light"/>
          <w:lang w:eastAsia="fr-BE"/>
        </w:rPr>
        <w:t>t des restructurations et une redistribution des actifs entre les différents types d’acteurs économiques. Le TTIP favoriserait ainsi les firmes transnationales plutôt que les PME, l’agro-business plutôt que l’agriculture familiale, les revenus du capital plutôt que ceux du travail et les pays riches plutôt que les pays pauvres. Dans ce contexte, les pays en développement, dont le niveau d’industrialisation est beaucoup moins élevé que dans les pays occidentaux, seraient immanquablement perdants – notamment les petits producteurs agricoles et les industries naissantes des pays en développement.</w:t>
      </w:r>
    </w:p>
    <w:p w:rsidR="002F526C" w:rsidRDefault="00D15B7F" w:rsidP="002F526C">
      <w:pPr>
        <w:numPr>
          <w:ilvl w:val="0"/>
          <w:numId w:val="3"/>
        </w:numPr>
        <w:jc w:val="both"/>
      </w:pPr>
      <w:r>
        <w:t>Le</w:t>
      </w:r>
      <w:r w:rsidR="008E0FC3">
        <w:t xml:space="preserve">s traités transatlantiques visent la reconnaissance mutuelle des normes, ce y compris environnementales, en vue d’abaisser les barrières non tarifaires considérées comme des obstacles au commerce et à l’investissement. </w:t>
      </w:r>
      <w:r w:rsidR="00CA2419">
        <w:t xml:space="preserve">Ce faisant, ces traités ont tendance à </w:t>
      </w:r>
      <w:r w:rsidR="00AE1B9B">
        <w:t>remettre en cause le principe de précaution</w:t>
      </w:r>
      <w:r w:rsidR="00AE1B9B">
        <w:rPr>
          <w:rStyle w:val="Appelnotedebasdep"/>
          <w:szCs w:val="28"/>
        </w:rPr>
        <w:footnoteReference w:id="9"/>
      </w:r>
      <w:r w:rsidR="00AE1B9B">
        <w:t xml:space="preserve"> et à </w:t>
      </w:r>
      <w:r w:rsidR="00CA2419">
        <w:t>exacerber la course au moins-disant environnemental, en contradiction avec les objectifs de la déclaration de Paris de la COP21 sur le changement climatique</w:t>
      </w:r>
      <w:r w:rsidR="00B42AF5">
        <w:rPr>
          <w:rStyle w:val="Appelnotedebasdep"/>
        </w:rPr>
        <w:footnoteReference w:id="10"/>
      </w:r>
      <w:r w:rsidR="00CA2419">
        <w:t xml:space="preserve">. Or les pays pauvres, notamment d’Afrique subsaharienne, sont les principales victimes des changements climatiques. La </w:t>
      </w:r>
      <w:r w:rsidR="00CA2419" w:rsidRPr="0019116B">
        <w:t>Banque mondiale</w:t>
      </w:r>
      <w:r w:rsidR="00CA2419" w:rsidRPr="0019116B">
        <w:rPr>
          <w:rStyle w:val="Appelnotedebasdep"/>
        </w:rPr>
        <w:footnoteReference w:id="11"/>
      </w:r>
      <w:r w:rsidR="00CA2419">
        <w:t xml:space="preserve"> a ainsi prédit de vastes pénuries alimentaires</w:t>
      </w:r>
      <w:r w:rsidR="00CA2419" w:rsidRPr="0019116B">
        <w:t xml:space="preserve"> dans les prochaines décennies. Alors que le réchauf</w:t>
      </w:r>
      <w:r w:rsidR="00CA2419">
        <w:t>fement global a déjà atteint 0,9</w:t>
      </w:r>
      <w:r w:rsidR="00CA2419" w:rsidRPr="0019116B">
        <w:t>°C</w:t>
      </w:r>
      <w:r w:rsidR="00CA2419">
        <w:t xml:space="preserve"> depuis le début de l’ère industrielle</w:t>
      </w:r>
      <w:r w:rsidR="00CA2419" w:rsidRPr="0019116B">
        <w:t xml:space="preserve">, le plafond fatidique des 2°C pourrait être atteint d’ici une génération. Des températures extrêmes pourraient affecter les récoltes de riz, de blé, de maïs et menacer la sécurité alimentaire des pays pauvres. En Afrique, à l’horizon 2030, la production agricole pourrait baisser de 10%, tandis que 40% des terres dédiées au maïs pourraient devenir inutilisables, ceci alors que la population est appelée à doubler </w:t>
      </w:r>
      <w:r w:rsidR="00CA2419">
        <w:t>d’ici 2050</w:t>
      </w:r>
      <w:r w:rsidR="00CA2419" w:rsidRPr="0019116B">
        <w:t xml:space="preserve">. </w:t>
      </w:r>
    </w:p>
    <w:p w:rsidR="002F526C" w:rsidRDefault="002750BF" w:rsidP="002F526C">
      <w:pPr>
        <w:numPr>
          <w:ilvl w:val="0"/>
          <w:numId w:val="3"/>
        </w:numPr>
        <w:jc w:val="both"/>
      </w:pPr>
      <w:r>
        <w:t xml:space="preserve">Le TTIP et le CETA prévoient une clause d’arbitrage qui permet aux firmes transnationales de porter plainte contre les Etats lorsque des régulations publiques réduisent les profits escomptés lors de l’adoption de ces traités. </w:t>
      </w:r>
      <w:r w:rsidR="00B42AF5">
        <w:t>L’UE présente cette clause (</w:t>
      </w:r>
      <w:r w:rsidR="00B42AF5" w:rsidRPr="002F526C">
        <w:rPr>
          <w:i/>
        </w:rPr>
        <w:t>Investment Court System</w:t>
      </w:r>
      <w:r w:rsidR="00B42AF5">
        <w:t>) comme un modèle à généraliser dans les accords bilatéraux négociés avec les pays en développement. Présenté comme une alternative au mécanisme ISDS (</w:t>
      </w:r>
      <w:proofErr w:type="spellStart"/>
      <w:r w:rsidR="00B42AF5" w:rsidRPr="002F526C">
        <w:rPr>
          <w:i/>
        </w:rPr>
        <w:t>Investor</w:t>
      </w:r>
      <w:proofErr w:type="spellEnd"/>
      <w:r w:rsidR="00B42AF5" w:rsidRPr="002F526C">
        <w:rPr>
          <w:i/>
        </w:rPr>
        <w:t xml:space="preserve">-to-State Dispute </w:t>
      </w:r>
      <w:proofErr w:type="spellStart"/>
      <w:r w:rsidR="00B42AF5" w:rsidRPr="002F526C">
        <w:rPr>
          <w:i/>
        </w:rPr>
        <w:t>Settlement</w:t>
      </w:r>
      <w:proofErr w:type="spellEnd"/>
      <w:r w:rsidR="00B42AF5">
        <w:t>) présent dans des centaines d’accords bilatéraux, il ne le remet pourtant pas fondamentalement en cause</w:t>
      </w:r>
      <w:r w:rsidR="00620211">
        <w:rPr>
          <w:rStyle w:val="Appelnotedebasdep"/>
        </w:rPr>
        <w:footnoteReference w:id="12"/>
      </w:r>
      <w:r w:rsidR="00B42AF5">
        <w:t>. Le problème fondamental est que la clause d’arbitrage contribue à favoriser</w:t>
      </w:r>
      <w:r w:rsidR="00B42AF5" w:rsidRPr="00B0691B">
        <w:t xml:space="preserve"> </w:t>
      </w:r>
      <w:r w:rsidR="00B42AF5">
        <w:t>les intérêts privés des firmes au détriment de l’intérêt général</w:t>
      </w:r>
      <w:r w:rsidR="00B42AF5">
        <w:rPr>
          <w:rStyle w:val="Appelnotedebasdep"/>
        </w:rPr>
        <w:footnoteReference w:id="13"/>
      </w:r>
      <w:r w:rsidR="00B42AF5">
        <w:t>.</w:t>
      </w:r>
      <w:r w:rsidR="00B42AF5" w:rsidRPr="00B42AF5">
        <w:t xml:space="preserve"> </w:t>
      </w:r>
      <w:r w:rsidR="00B42AF5">
        <w:t>Pour des pays en développement dont les gouvernements cherchent à instaurer des politiques alternatives aux politiques contre-productives</w:t>
      </w:r>
      <w:r w:rsidR="00620211">
        <w:t xml:space="preserve"> de leurs prédécesseurs, le coût des indemnisations peut se révéler très élevé </w:t>
      </w:r>
      <w:r w:rsidR="00B42AF5">
        <w:t xml:space="preserve">: les 14 milliards de dollars revendiqués par les vingt-quatre cas d’arbitrage à l’encontre de l’Equateur représentent </w:t>
      </w:r>
      <w:r w:rsidR="00620211">
        <w:t xml:space="preserve">ainsi </w:t>
      </w:r>
      <w:r w:rsidR="00B42AF5">
        <w:t>41% du budget de l’Etat</w:t>
      </w:r>
      <w:r w:rsidR="00B42AF5">
        <w:rPr>
          <w:rStyle w:val="Appelnotedebasdep"/>
        </w:rPr>
        <w:footnoteReference w:id="14"/>
      </w:r>
      <w:r w:rsidR="00B42AF5">
        <w:t>.</w:t>
      </w:r>
      <w:r w:rsidR="00620211" w:rsidRPr="00620211">
        <w:t xml:space="preserve"> </w:t>
      </w:r>
      <w:r w:rsidR="00620211">
        <w:t xml:space="preserve">Selon la CNUCED, qui conseille aux pays en développement de ne plus adopter de tels traités et de réviser les clauses existant dans les traités en vigueur : « Ce n’est pas seulement la procédure de règlement des différends qu’il faut améliorer, c’est toute la logique qu’il faut </w:t>
      </w:r>
      <w:r w:rsidR="00620211">
        <w:lastRenderedPageBreak/>
        <w:t>modifier. (…) Le droit privé s’applique à des individus privés considérés comme égaux devant la loi, tandis qu’en droit public, ce qui prime est l’intérêt général défendu par des personnes publiques »</w:t>
      </w:r>
      <w:r w:rsidR="00620211">
        <w:rPr>
          <w:rStyle w:val="Appelnotedebasdep"/>
        </w:rPr>
        <w:footnoteReference w:id="15"/>
      </w:r>
      <w:r w:rsidR="00620211">
        <w:t xml:space="preserve">. </w:t>
      </w:r>
      <w:r w:rsidR="002F526C">
        <w:t xml:space="preserve">C’est pourquoi plusieurs pays en développement (Inde, Afrique du Sud, Brésil) ont </w:t>
      </w:r>
      <w:r w:rsidR="002F526C" w:rsidRPr="002F526C">
        <w:t xml:space="preserve">récemment proposé des modèles alternatifs pour les accords de commerce et d’investissement. </w:t>
      </w:r>
    </w:p>
    <w:p w:rsidR="002F526C" w:rsidRPr="002F526C" w:rsidRDefault="002F526C" w:rsidP="002F526C">
      <w:pPr>
        <w:numPr>
          <w:ilvl w:val="0"/>
          <w:numId w:val="3"/>
        </w:numPr>
        <w:jc w:val="both"/>
      </w:pPr>
      <w:r w:rsidRPr="002F526C">
        <w:t>Le CETA introduit pour la première fois au niveau européen la libéralisation des services via une approche par « liste négative », qui</w:t>
      </w:r>
      <w:r>
        <w:t xml:space="preserve"> implique que tous les services sont libéralisés sauf ceux explicitement protégés par les Etats membres – contrairement à la logique de </w:t>
      </w:r>
      <w:r w:rsidR="00C07E50">
        <w:t>« </w:t>
      </w:r>
      <w:r>
        <w:t>liste positive</w:t>
      </w:r>
      <w:r w:rsidR="00C07E50">
        <w:t> »</w:t>
      </w:r>
      <w:r>
        <w:t xml:space="preserve">, notamment en vigueur à l’OMC, qui ne libéralise que les services explicitement engagés par les Etats. </w:t>
      </w:r>
      <w:r w:rsidR="00C07E50">
        <w:t>Or, comme le souligne</w:t>
      </w:r>
      <w:r>
        <w:t xml:space="preserve"> </w:t>
      </w:r>
      <w:r w:rsidR="00C07E50">
        <w:t xml:space="preserve">Pascal </w:t>
      </w:r>
      <w:proofErr w:type="spellStart"/>
      <w:r w:rsidR="00C07E50">
        <w:t>Kerneis</w:t>
      </w:r>
      <w:proofErr w:type="spellEnd"/>
      <w:r w:rsidRPr="009372FC">
        <w:t xml:space="preserve"> du </w:t>
      </w:r>
      <w:proofErr w:type="spellStart"/>
      <w:r w:rsidRPr="002F526C">
        <w:rPr>
          <w:i/>
        </w:rPr>
        <w:t>European</w:t>
      </w:r>
      <w:proofErr w:type="spellEnd"/>
      <w:r w:rsidRPr="002F526C">
        <w:rPr>
          <w:i/>
        </w:rPr>
        <w:t xml:space="preserve"> Services Forum</w:t>
      </w:r>
      <w:r w:rsidR="00C07E50">
        <w:t xml:space="preserve"> </w:t>
      </w:r>
      <w:r w:rsidRPr="009372FC">
        <w:t>:</w:t>
      </w:r>
      <w:r w:rsidRPr="002F526C">
        <w:rPr>
          <w:i/>
        </w:rPr>
        <w:t xml:space="preserve"> </w:t>
      </w:r>
      <w:r w:rsidRPr="00C07E50">
        <w:t xml:space="preserve">« La clause de la nation la plus </w:t>
      </w:r>
      <w:proofErr w:type="spellStart"/>
      <w:r w:rsidRPr="00C07E50">
        <w:t>favorisée</w:t>
      </w:r>
      <w:proofErr w:type="spellEnd"/>
      <w:r w:rsidR="00C07E50" w:rsidRPr="00C07E50">
        <w:t xml:space="preserve"> (…) </w:t>
      </w:r>
      <w:r w:rsidRPr="00C07E50">
        <w:t xml:space="preserve">veut dire que si l'Union européenne, dans le cadre d'une négociation future, </w:t>
      </w:r>
      <w:r w:rsidR="00C07E50" w:rsidRPr="00C07E50">
        <w:t xml:space="preserve">(…) </w:t>
      </w:r>
      <w:r w:rsidRPr="00C07E50">
        <w:t xml:space="preserve">décide d'ouvrir un secteur </w:t>
      </w:r>
      <w:r w:rsidR="00C07E50" w:rsidRPr="00C07E50">
        <w:t>qui ne l’a pas été avec le Canada</w:t>
      </w:r>
      <w:r w:rsidRPr="00C07E50">
        <w:t xml:space="preserve"> </w:t>
      </w:r>
      <w:r w:rsidR="00C07E50" w:rsidRPr="00C07E50">
        <w:t>(…)</w:t>
      </w:r>
      <w:r w:rsidRPr="00C07E50">
        <w:t>, le Canada va en bénéficier automatiquement</w:t>
      </w:r>
      <w:r w:rsidR="00C07E50" w:rsidRPr="00C07E50">
        <w:t xml:space="preserve"> </w:t>
      </w:r>
      <w:r w:rsidRPr="00C07E50">
        <w:t>»</w:t>
      </w:r>
      <w:r w:rsidRPr="00C07E50">
        <w:rPr>
          <w:vertAlign w:val="superscript"/>
        </w:rPr>
        <w:footnoteReference w:id="16"/>
      </w:r>
      <w:r w:rsidR="00C07E50" w:rsidRPr="00C07E50">
        <w:t>.</w:t>
      </w:r>
      <w:r w:rsidR="00C07E50">
        <w:t xml:space="preserve"> L’adoption de l’approche de liste négative cumulée à la clause de la nation la plus favorisée risque dès lors de favoriser à terme, si elle est généralisée, un mécanisme de libéralisation des services affectant les marges de manœuvre politiques des pays en développement. </w:t>
      </w:r>
    </w:p>
    <w:p w:rsidR="00584B17" w:rsidRDefault="00620211" w:rsidP="00DA3ADD">
      <w:pPr>
        <w:jc w:val="both"/>
      </w:pPr>
      <w:r>
        <w:t>Pour toutes ces raisons, et dans un souci de respect de la Cohérence des politiques en faveur du développement (CPD), le CWBCI recommande</w:t>
      </w:r>
      <w:r w:rsidRPr="00620211">
        <w:t xml:space="preserve"> </w:t>
      </w:r>
      <w:r>
        <w:t xml:space="preserve">aux parlements et aux gouvernements de la Région wallonne, de la Région bruxelloise, de la Fédération Wallonie-Bruxelles et de la Communauté germanophone de ne pas ratifier cette nouvelle génération de traités. </w:t>
      </w:r>
    </w:p>
    <w:sectPr w:rsidR="00584B17" w:rsidSect="00AF3F84">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FA1" w:rsidRDefault="00FB3FA1" w:rsidP="00EB0623">
      <w:pPr>
        <w:spacing w:after="0" w:line="240" w:lineRule="auto"/>
      </w:pPr>
      <w:r>
        <w:separator/>
      </w:r>
    </w:p>
  </w:endnote>
  <w:endnote w:type="continuationSeparator" w:id="0">
    <w:p w:rsidR="00FB3FA1" w:rsidRDefault="00FB3FA1" w:rsidP="00EB0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Folio-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FA1" w:rsidRDefault="00FB3FA1" w:rsidP="00EB0623">
      <w:pPr>
        <w:spacing w:after="0" w:line="240" w:lineRule="auto"/>
      </w:pPr>
      <w:r>
        <w:separator/>
      </w:r>
    </w:p>
  </w:footnote>
  <w:footnote w:type="continuationSeparator" w:id="0">
    <w:p w:rsidR="00FB3FA1" w:rsidRDefault="00FB3FA1" w:rsidP="00EB0623">
      <w:pPr>
        <w:spacing w:after="0" w:line="240" w:lineRule="auto"/>
      </w:pPr>
      <w:r>
        <w:continuationSeparator/>
      </w:r>
    </w:p>
  </w:footnote>
  <w:footnote w:id="1">
    <w:p w:rsidR="0025579D" w:rsidRPr="0025579D" w:rsidRDefault="0025579D">
      <w:pPr>
        <w:pStyle w:val="Notedebasdepage"/>
      </w:pPr>
      <w:r>
        <w:rPr>
          <w:rStyle w:val="Appelnotedebasdep"/>
        </w:rPr>
        <w:footnoteRef/>
      </w:r>
      <w:r>
        <w:t xml:space="preserve"> </w:t>
      </w:r>
      <w:r>
        <w:rPr>
          <w:lang w:val="nl-NL"/>
        </w:rPr>
        <w:t xml:space="preserve">Comme en </w:t>
      </w:r>
      <w:proofErr w:type="spellStart"/>
      <w:r>
        <w:rPr>
          <w:lang w:val="nl-NL"/>
        </w:rPr>
        <w:t>atteste</w:t>
      </w:r>
      <w:proofErr w:type="spellEnd"/>
      <w:r>
        <w:rPr>
          <w:lang w:val="nl-NL"/>
        </w:rPr>
        <w:t xml:space="preserve"> </w:t>
      </w:r>
      <w:proofErr w:type="spellStart"/>
      <w:r>
        <w:rPr>
          <w:lang w:val="nl-NL"/>
        </w:rPr>
        <w:t>le</w:t>
      </w:r>
      <w:proofErr w:type="spellEnd"/>
      <w:r>
        <w:rPr>
          <w:lang w:val="nl-NL"/>
        </w:rPr>
        <w:t xml:space="preserve"> </w:t>
      </w:r>
      <w:proofErr w:type="spellStart"/>
      <w:r>
        <w:rPr>
          <w:lang w:val="nl-NL"/>
        </w:rPr>
        <w:t>mandat</w:t>
      </w:r>
      <w:proofErr w:type="spellEnd"/>
      <w:r>
        <w:rPr>
          <w:lang w:val="nl-NL"/>
        </w:rPr>
        <w:t xml:space="preserve"> de </w:t>
      </w:r>
      <w:proofErr w:type="spellStart"/>
      <w:r>
        <w:rPr>
          <w:lang w:val="nl-NL"/>
        </w:rPr>
        <w:t>négociation</w:t>
      </w:r>
      <w:proofErr w:type="spellEnd"/>
      <w:r>
        <w:rPr>
          <w:lang w:val="nl-NL"/>
        </w:rPr>
        <w:t xml:space="preserve"> du TTIP </w:t>
      </w:r>
      <w:proofErr w:type="spellStart"/>
      <w:r>
        <w:rPr>
          <w:lang w:val="nl-NL"/>
        </w:rPr>
        <w:t>qui</w:t>
      </w:r>
      <w:proofErr w:type="spellEnd"/>
      <w:r>
        <w:rPr>
          <w:lang w:val="nl-NL"/>
        </w:rPr>
        <w:t xml:space="preserve"> </w:t>
      </w:r>
      <w:proofErr w:type="spellStart"/>
      <w:r>
        <w:rPr>
          <w:lang w:val="nl-NL"/>
        </w:rPr>
        <w:t>prévoit</w:t>
      </w:r>
      <w:proofErr w:type="spellEnd"/>
      <w:r>
        <w:rPr>
          <w:lang w:val="nl-NL"/>
        </w:rPr>
        <w:t xml:space="preserve"> dans </w:t>
      </w:r>
      <w:proofErr w:type="spellStart"/>
      <w:r>
        <w:rPr>
          <w:lang w:val="nl-NL"/>
        </w:rPr>
        <w:t>son</w:t>
      </w:r>
      <w:proofErr w:type="spellEnd"/>
      <w:r>
        <w:rPr>
          <w:lang w:val="nl-NL"/>
        </w:rPr>
        <w:t xml:space="preserve"> premier </w:t>
      </w:r>
      <w:proofErr w:type="spellStart"/>
      <w:r>
        <w:rPr>
          <w:lang w:val="nl-NL"/>
        </w:rPr>
        <w:t>objectif</w:t>
      </w:r>
      <w:proofErr w:type="spellEnd"/>
      <w:r>
        <w:rPr>
          <w:lang w:val="nl-NL"/>
        </w:rPr>
        <w:t xml:space="preserve"> de “</w:t>
      </w:r>
      <w:proofErr w:type="spellStart"/>
      <w:r>
        <w:rPr>
          <w:lang w:val="nl-NL"/>
        </w:rPr>
        <w:t>construire</w:t>
      </w:r>
      <w:proofErr w:type="spellEnd"/>
      <w:r>
        <w:rPr>
          <w:lang w:val="nl-NL"/>
        </w:rPr>
        <w:t xml:space="preserve"> des </w:t>
      </w:r>
      <w:proofErr w:type="spellStart"/>
      <w:r>
        <w:rPr>
          <w:lang w:val="nl-NL"/>
        </w:rPr>
        <w:t>normes</w:t>
      </w:r>
      <w:proofErr w:type="spellEnd"/>
      <w:r>
        <w:rPr>
          <w:lang w:val="nl-NL"/>
        </w:rPr>
        <w:t xml:space="preserve"> </w:t>
      </w:r>
      <w:proofErr w:type="spellStart"/>
      <w:r>
        <w:rPr>
          <w:lang w:val="nl-NL"/>
        </w:rPr>
        <w:t>mondiales</w:t>
      </w:r>
      <w:proofErr w:type="spellEnd"/>
      <w:r w:rsidR="002F526C">
        <w:rPr>
          <w:lang w:val="nl-NL"/>
        </w:rPr>
        <w:t xml:space="preserve">”: </w:t>
      </w:r>
      <w:hyperlink r:id="rId1" w:history="1">
        <w:r w:rsidRPr="0025579D">
          <w:rPr>
            <w:rStyle w:val="Lienhypertexte"/>
            <w:lang w:val="fr-FR"/>
          </w:rPr>
          <w:t>http</w:t>
        </w:r>
      </w:hyperlink>
      <w:hyperlink r:id="rId2" w:history="1">
        <w:r w:rsidRPr="0025579D">
          <w:rPr>
            <w:rStyle w:val="Lienhypertexte"/>
            <w:lang w:val="fr-FR"/>
          </w:rPr>
          <w:t>://data.consilium.europa.eu/doc/document/ST-11103-2013-DCL-1/en/pdf</w:t>
        </w:r>
      </w:hyperlink>
      <w:r>
        <w:t xml:space="preserve"> </w:t>
      </w:r>
    </w:p>
  </w:footnote>
  <w:footnote w:id="2">
    <w:p w:rsidR="00A65F6C" w:rsidRPr="002F526C" w:rsidRDefault="00A65F6C" w:rsidP="00881CA7">
      <w:pPr>
        <w:pStyle w:val="Notedebasdepage"/>
        <w:jc w:val="both"/>
      </w:pPr>
      <w:r w:rsidRPr="00134BB5">
        <w:rPr>
          <w:rStyle w:val="Appelnotedebasdep"/>
        </w:rPr>
        <w:footnoteRef/>
      </w:r>
      <w:r w:rsidRPr="002F526C">
        <w:t xml:space="preserve"> P. </w:t>
      </w:r>
      <w:proofErr w:type="spellStart"/>
      <w:r w:rsidRPr="002F526C">
        <w:t>Defraigne</w:t>
      </w:r>
      <w:proofErr w:type="spellEnd"/>
      <w:r w:rsidRPr="002F526C">
        <w:t>, « </w:t>
      </w:r>
      <w:proofErr w:type="spellStart"/>
      <w:r w:rsidRPr="002F526C">
        <w:t>Departing</w:t>
      </w:r>
      <w:proofErr w:type="spellEnd"/>
      <w:r w:rsidRPr="002F526C">
        <w:t xml:space="preserve"> </w:t>
      </w:r>
      <w:proofErr w:type="spellStart"/>
      <w:r w:rsidRPr="002F526C">
        <w:t>from</w:t>
      </w:r>
      <w:proofErr w:type="spellEnd"/>
      <w:r w:rsidRPr="002F526C">
        <w:t xml:space="preserve"> TTIP and </w:t>
      </w:r>
      <w:proofErr w:type="spellStart"/>
      <w:r w:rsidRPr="002F526C">
        <w:t>Going</w:t>
      </w:r>
      <w:proofErr w:type="spellEnd"/>
      <w:r w:rsidRPr="002F526C">
        <w:t xml:space="preserve"> </w:t>
      </w:r>
      <w:proofErr w:type="spellStart"/>
      <w:r w:rsidRPr="002F526C">
        <w:t>Plurilateral</w:t>
      </w:r>
      <w:proofErr w:type="spellEnd"/>
      <w:r w:rsidRPr="002F526C">
        <w:t> », Madriaga P</w:t>
      </w:r>
      <w:r w:rsidR="00515293" w:rsidRPr="002F526C">
        <w:t xml:space="preserve">aper, vol. 7, n°9, </w:t>
      </w:r>
      <w:proofErr w:type="spellStart"/>
      <w:r w:rsidR="00515293" w:rsidRPr="002F526C">
        <w:t>October</w:t>
      </w:r>
      <w:proofErr w:type="spellEnd"/>
      <w:r w:rsidR="00515293" w:rsidRPr="002F526C">
        <w:t xml:space="preserve"> 2014 ; A. Zacharie, N. Van Nuffel et M. Cermak, « Traité transatlantique (TTIP) : cartographie d’un partenariat controversé </w:t>
      </w:r>
      <w:r w:rsidR="00515293" w:rsidRPr="002F526C">
        <w:rPr>
          <w:rFonts w:cs="Folio-Light"/>
          <w:lang w:eastAsia="fr-BE"/>
        </w:rPr>
        <w:t xml:space="preserve">», Collection d’études Point Sud, </w:t>
      </w:r>
      <w:r w:rsidR="00184EE2" w:rsidRPr="002F526C">
        <w:rPr>
          <w:rFonts w:cs="Folio-Light"/>
          <w:lang w:eastAsia="fr-BE"/>
        </w:rPr>
        <w:t xml:space="preserve">n°13, juin 2015. </w:t>
      </w:r>
    </w:p>
  </w:footnote>
  <w:footnote w:id="3">
    <w:p w:rsidR="00A65F6C" w:rsidRPr="00134BB5" w:rsidRDefault="00A65F6C" w:rsidP="00881CA7">
      <w:pPr>
        <w:autoSpaceDE w:val="0"/>
        <w:autoSpaceDN w:val="0"/>
        <w:adjustRightInd w:val="0"/>
        <w:spacing w:after="0" w:line="240" w:lineRule="auto"/>
        <w:jc w:val="both"/>
        <w:rPr>
          <w:rFonts w:cs="Folio-Light"/>
          <w:sz w:val="20"/>
          <w:szCs w:val="20"/>
          <w:lang w:val="en-US" w:eastAsia="fr-BE"/>
        </w:rPr>
      </w:pPr>
      <w:r w:rsidRPr="00134BB5">
        <w:rPr>
          <w:rStyle w:val="Appelnotedebasdep"/>
          <w:sz w:val="20"/>
          <w:szCs w:val="20"/>
        </w:rPr>
        <w:footnoteRef/>
      </w:r>
      <w:r w:rsidRPr="00134BB5">
        <w:rPr>
          <w:sz w:val="20"/>
          <w:szCs w:val="20"/>
          <w:lang w:val="en-US"/>
        </w:rPr>
        <w:t xml:space="preserve"> </w:t>
      </w:r>
      <w:r w:rsidR="00B8788A" w:rsidRPr="00134BB5">
        <w:rPr>
          <w:rFonts w:cs="Folio-Light"/>
          <w:sz w:val="20"/>
          <w:szCs w:val="20"/>
          <w:lang w:val="en-US" w:eastAsia="fr-BE"/>
        </w:rPr>
        <w:t xml:space="preserve">R. </w:t>
      </w:r>
      <w:proofErr w:type="spellStart"/>
      <w:r w:rsidR="00B8788A" w:rsidRPr="00134BB5">
        <w:rPr>
          <w:rFonts w:cs="Folio-Light"/>
          <w:sz w:val="20"/>
          <w:szCs w:val="20"/>
          <w:lang w:val="en-US" w:eastAsia="fr-BE"/>
        </w:rPr>
        <w:t>Bendini</w:t>
      </w:r>
      <w:proofErr w:type="spellEnd"/>
      <w:r w:rsidR="00B8788A" w:rsidRPr="00134BB5">
        <w:rPr>
          <w:rFonts w:cs="Folio-Light"/>
          <w:sz w:val="20"/>
          <w:szCs w:val="20"/>
          <w:lang w:val="en-US" w:eastAsia="fr-BE"/>
        </w:rPr>
        <w:t xml:space="preserve">, P. De </w:t>
      </w:r>
      <w:proofErr w:type="spellStart"/>
      <w:r w:rsidR="00B8788A" w:rsidRPr="00134BB5">
        <w:rPr>
          <w:rFonts w:cs="Folio-Light"/>
          <w:sz w:val="20"/>
          <w:szCs w:val="20"/>
          <w:lang w:val="en-US" w:eastAsia="fr-BE"/>
        </w:rPr>
        <w:t>Micco</w:t>
      </w:r>
      <w:proofErr w:type="spellEnd"/>
      <w:r w:rsidR="00B8788A" w:rsidRPr="00134BB5">
        <w:rPr>
          <w:rFonts w:cs="Folio-Light"/>
          <w:sz w:val="20"/>
          <w:szCs w:val="20"/>
          <w:lang w:val="en-US" w:eastAsia="fr-BE"/>
        </w:rPr>
        <w:t xml:space="preserve">, </w:t>
      </w:r>
      <w:r w:rsidR="0094336F" w:rsidRPr="00134BB5">
        <w:rPr>
          <w:sz w:val="20"/>
          <w:szCs w:val="20"/>
          <w:lang w:val="en-US"/>
        </w:rPr>
        <w:t>« </w:t>
      </w:r>
      <w:r w:rsidR="00B8788A" w:rsidRPr="00134BB5">
        <w:rPr>
          <w:rFonts w:cs="Folio-Light"/>
          <w:sz w:val="20"/>
          <w:szCs w:val="20"/>
          <w:lang w:val="en-US" w:eastAsia="fr-BE"/>
        </w:rPr>
        <w:t>The expected impact of the TTIP on EU Member States and selected third countries</w:t>
      </w:r>
      <w:r w:rsidR="0094336F" w:rsidRPr="00134BB5">
        <w:rPr>
          <w:rFonts w:cs="Folio-Light"/>
          <w:sz w:val="20"/>
          <w:szCs w:val="20"/>
          <w:lang w:val="en-US" w:eastAsia="fr-BE"/>
        </w:rPr>
        <w:t xml:space="preserve"> </w:t>
      </w:r>
      <w:r w:rsidR="0094336F" w:rsidRPr="00134BB5">
        <w:rPr>
          <w:sz w:val="20"/>
          <w:szCs w:val="20"/>
          <w:lang w:val="en-US"/>
        </w:rPr>
        <w:t>»</w:t>
      </w:r>
      <w:r w:rsidR="00B8788A" w:rsidRPr="00134BB5">
        <w:rPr>
          <w:rFonts w:cs="Folio-Light"/>
          <w:sz w:val="20"/>
          <w:szCs w:val="20"/>
          <w:lang w:val="en-US" w:eastAsia="fr-BE"/>
        </w:rPr>
        <w:t>, European Parliament</w:t>
      </w:r>
      <w:r w:rsidR="00BE12AE" w:rsidRPr="00134BB5">
        <w:rPr>
          <w:rFonts w:cs="Folio-Light"/>
          <w:sz w:val="20"/>
          <w:szCs w:val="20"/>
          <w:lang w:val="en-US" w:eastAsia="fr-BE"/>
        </w:rPr>
        <w:t xml:space="preserve">, September 2014. </w:t>
      </w:r>
    </w:p>
  </w:footnote>
  <w:footnote w:id="4">
    <w:p w:rsidR="00B8788A" w:rsidRPr="00134BB5" w:rsidRDefault="00B8788A" w:rsidP="00881CA7">
      <w:pPr>
        <w:spacing w:after="0" w:line="240" w:lineRule="auto"/>
        <w:jc w:val="both"/>
        <w:rPr>
          <w:rFonts w:eastAsia="Times New Roman" w:cs="Arial"/>
          <w:sz w:val="20"/>
          <w:szCs w:val="20"/>
          <w:lang w:val="en-US" w:eastAsia="fr-BE"/>
        </w:rPr>
      </w:pPr>
      <w:r w:rsidRPr="00134BB5">
        <w:rPr>
          <w:rStyle w:val="Appelnotedebasdep"/>
          <w:sz w:val="20"/>
          <w:szCs w:val="20"/>
        </w:rPr>
        <w:footnoteRef/>
      </w:r>
      <w:r w:rsidRPr="00134BB5">
        <w:rPr>
          <w:sz w:val="20"/>
          <w:szCs w:val="20"/>
          <w:lang w:val="en-US"/>
        </w:rPr>
        <w:t xml:space="preserve"> </w:t>
      </w:r>
      <w:r w:rsidR="00BE12AE" w:rsidRPr="00134BB5">
        <w:rPr>
          <w:sz w:val="20"/>
          <w:szCs w:val="20"/>
          <w:lang w:val="en-US"/>
        </w:rPr>
        <w:t>T. Petersen,</w:t>
      </w:r>
      <w:r w:rsidR="00BE12AE" w:rsidRPr="00134BB5">
        <w:rPr>
          <w:b/>
          <w:sz w:val="20"/>
          <w:szCs w:val="20"/>
          <w:lang w:val="en-US"/>
        </w:rPr>
        <w:t xml:space="preserve"> </w:t>
      </w:r>
      <w:r w:rsidR="0094336F" w:rsidRPr="00134BB5">
        <w:rPr>
          <w:sz w:val="20"/>
          <w:szCs w:val="20"/>
          <w:lang w:val="en-US"/>
        </w:rPr>
        <w:t>« </w:t>
      </w:r>
      <w:r w:rsidR="00BE12AE" w:rsidRPr="00134BB5">
        <w:rPr>
          <w:rFonts w:eastAsia="Times New Roman" w:cs="Arial"/>
          <w:sz w:val="20"/>
          <w:szCs w:val="20"/>
          <w:lang w:val="en-US" w:eastAsia="fr-BE"/>
        </w:rPr>
        <w:t xml:space="preserve">Economic Consequences </w:t>
      </w:r>
      <w:r w:rsidR="00BE12AE" w:rsidRPr="00BE12AE">
        <w:rPr>
          <w:rFonts w:eastAsia="Times New Roman" w:cs="Arial"/>
          <w:sz w:val="20"/>
          <w:szCs w:val="20"/>
          <w:lang w:val="en-US" w:eastAsia="fr-BE"/>
        </w:rPr>
        <w:t>of a Transatlantic Free-Trade Agreement for Asia</w:t>
      </w:r>
      <w:r w:rsidR="0094336F" w:rsidRPr="00134BB5">
        <w:rPr>
          <w:rFonts w:eastAsia="Times New Roman" w:cs="Arial"/>
          <w:sz w:val="20"/>
          <w:szCs w:val="20"/>
          <w:lang w:val="en-US" w:eastAsia="fr-BE"/>
        </w:rPr>
        <w:t xml:space="preserve"> </w:t>
      </w:r>
      <w:r w:rsidR="0094336F" w:rsidRPr="00134BB5">
        <w:rPr>
          <w:sz w:val="20"/>
          <w:szCs w:val="20"/>
          <w:lang w:val="en-US"/>
        </w:rPr>
        <w:t>»</w:t>
      </w:r>
      <w:r w:rsidR="0094336F" w:rsidRPr="00134BB5">
        <w:rPr>
          <w:rFonts w:eastAsia="Times New Roman" w:cs="Arial"/>
          <w:sz w:val="20"/>
          <w:szCs w:val="20"/>
          <w:lang w:val="en-US" w:eastAsia="fr-BE"/>
        </w:rPr>
        <w:t>, Asia Policy Brief 2013/05, November 2013.</w:t>
      </w:r>
    </w:p>
  </w:footnote>
  <w:footnote w:id="5">
    <w:p w:rsidR="00B8788A" w:rsidRPr="00134BB5" w:rsidRDefault="00B8788A" w:rsidP="00881CA7">
      <w:pPr>
        <w:spacing w:after="0" w:line="240" w:lineRule="auto"/>
        <w:jc w:val="both"/>
        <w:rPr>
          <w:rFonts w:cs="Arial"/>
          <w:sz w:val="20"/>
          <w:szCs w:val="20"/>
          <w:lang w:val="en-US" w:eastAsia="fr-BE"/>
        </w:rPr>
      </w:pPr>
      <w:r w:rsidRPr="00134BB5">
        <w:rPr>
          <w:rStyle w:val="Appelnotedebasdep"/>
          <w:sz w:val="20"/>
          <w:szCs w:val="20"/>
        </w:rPr>
        <w:footnoteRef/>
      </w:r>
      <w:r w:rsidRPr="00134BB5">
        <w:rPr>
          <w:sz w:val="20"/>
          <w:szCs w:val="20"/>
          <w:lang w:val="en-US"/>
        </w:rPr>
        <w:t xml:space="preserve"> </w:t>
      </w:r>
      <w:r w:rsidR="0094336F" w:rsidRPr="00134BB5">
        <w:rPr>
          <w:sz w:val="20"/>
          <w:szCs w:val="20"/>
          <w:lang w:val="en-US"/>
        </w:rPr>
        <w:t xml:space="preserve">J. Rollo et al., « </w:t>
      </w:r>
      <w:r w:rsidR="0094336F" w:rsidRPr="00134BB5">
        <w:rPr>
          <w:rFonts w:cs="Arial"/>
          <w:sz w:val="20"/>
          <w:szCs w:val="20"/>
          <w:lang w:val="en-US"/>
        </w:rPr>
        <w:t xml:space="preserve">Potential Effects of the Proposed Transatlantic Trade and Investment Partnership on Selected Developing Countries </w:t>
      </w:r>
      <w:r w:rsidR="0094336F" w:rsidRPr="00134BB5">
        <w:rPr>
          <w:sz w:val="20"/>
          <w:szCs w:val="20"/>
          <w:lang w:val="en-US"/>
        </w:rPr>
        <w:t xml:space="preserve">», University of Sussex, CARIS, July 2013. </w:t>
      </w:r>
    </w:p>
  </w:footnote>
  <w:footnote w:id="6">
    <w:p w:rsidR="00B8788A" w:rsidRPr="00134BB5" w:rsidRDefault="00B8788A" w:rsidP="00881CA7">
      <w:pPr>
        <w:spacing w:after="0" w:line="240" w:lineRule="auto"/>
        <w:jc w:val="both"/>
        <w:rPr>
          <w:rFonts w:eastAsia="Times New Roman" w:cs="Arial"/>
          <w:sz w:val="20"/>
          <w:szCs w:val="20"/>
          <w:lang w:val="en-US" w:eastAsia="fr-BE"/>
        </w:rPr>
      </w:pPr>
      <w:r w:rsidRPr="00134BB5">
        <w:rPr>
          <w:rStyle w:val="Appelnotedebasdep"/>
          <w:sz w:val="20"/>
          <w:szCs w:val="20"/>
        </w:rPr>
        <w:footnoteRef/>
      </w:r>
      <w:r w:rsidRPr="00134BB5">
        <w:rPr>
          <w:sz w:val="20"/>
          <w:szCs w:val="20"/>
          <w:lang w:val="en-US"/>
        </w:rPr>
        <w:t xml:space="preserve"> </w:t>
      </w:r>
      <w:r w:rsidR="0094336F" w:rsidRPr="00134BB5">
        <w:rPr>
          <w:rFonts w:cs="Folio-Light"/>
          <w:sz w:val="20"/>
          <w:szCs w:val="20"/>
          <w:lang w:val="en-US" w:eastAsia="fr-BE"/>
        </w:rPr>
        <w:t xml:space="preserve">G. </w:t>
      </w:r>
      <w:proofErr w:type="spellStart"/>
      <w:r w:rsidR="0094336F" w:rsidRPr="00134BB5">
        <w:rPr>
          <w:sz w:val="20"/>
          <w:szCs w:val="20"/>
          <w:lang w:val="en-US"/>
        </w:rPr>
        <w:t>Felbermayr</w:t>
      </w:r>
      <w:proofErr w:type="spellEnd"/>
      <w:r w:rsidR="0094336F" w:rsidRPr="00134BB5">
        <w:rPr>
          <w:sz w:val="20"/>
          <w:szCs w:val="20"/>
          <w:lang w:val="en-US"/>
        </w:rPr>
        <w:t xml:space="preserve"> et al., « </w:t>
      </w:r>
      <w:proofErr w:type="spellStart"/>
      <w:r w:rsidR="0094336F" w:rsidRPr="00134BB5">
        <w:rPr>
          <w:rFonts w:eastAsia="Times New Roman" w:cs="Arial"/>
          <w:sz w:val="20"/>
          <w:szCs w:val="20"/>
          <w:lang w:val="en-US" w:eastAsia="fr-BE"/>
        </w:rPr>
        <w:t>Mögliche</w:t>
      </w:r>
      <w:proofErr w:type="spellEnd"/>
      <w:r w:rsidR="0094336F" w:rsidRPr="00134BB5">
        <w:rPr>
          <w:rFonts w:eastAsia="Times New Roman" w:cs="Arial"/>
          <w:sz w:val="20"/>
          <w:szCs w:val="20"/>
          <w:lang w:val="en-US" w:eastAsia="fr-BE"/>
        </w:rPr>
        <w:t xml:space="preserve"> </w:t>
      </w:r>
      <w:proofErr w:type="spellStart"/>
      <w:r w:rsidR="0094336F" w:rsidRPr="00134BB5">
        <w:rPr>
          <w:rFonts w:eastAsia="Times New Roman" w:cs="Arial"/>
          <w:sz w:val="20"/>
          <w:szCs w:val="20"/>
          <w:lang w:val="en-US" w:eastAsia="fr-BE"/>
        </w:rPr>
        <w:t>Auswirkungen</w:t>
      </w:r>
      <w:proofErr w:type="spellEnd"/>
      <w:r w:rsidR="0094336F" w:rsidRPr="00134BB5">
        <w:rPr>
          <w:rFonts w:eastAsia="Times New Roman" w:cs="Arial"/>
          <w:sz w:val="20"/>
          <w:szCs w:val="20"/>
          <w:lang w:val="en-US" w:eastAsia="fr-BE"/>
        </w:rPr>
        <w:t xml:space="preserve"> der </w:t>
      </w:r>
      <w:proofErr w:type="spellStart"/>
      <w:r w:rsidR="0094336F" w:rsidRPr="00134BB5">
        <w:rPr>
          <w:rFonts w:eastAsia="Times New Roman" w:cs="Arial"/>
          <w:sz w:val="20"/>
          <w:szCs w:val="20"/>
          <w:lang w:val="en-US" w:eastAsia="fr-BE"/>
        </w:rPr>
        <w:t>Transatlantischen</w:t>
      </w:r>
      <w:proofErr w:type="spellEnd"/>
      <w:r w:rsidR="0094336F" w:rsidRPr="00134BB5">
        <w:rPr>
          <w:rFonts w:eastAsia="Times New Roman" w:cs="Arial"/>
          <w:sz w:val="20"/>
          <w:szCs w:val="20"/>
          <w:lang w:val="en-US" w:eastAsia="fr-BE"/>
        </w:rPr>
        <w:t xml:space="preserve"> </w:t>
      </w:r>
      <w:proofErr w:type="spellStart"/>
      <w:r w:rsidR="0094336F" w:rsidRPr="0094336F">
        <w:rPr>
          <w:rFonts w:eastAsia="Times New Roman" w:cs="Arial"/>
          <w:sz w:val="20"/>
          <w:szCs w:val="20"/>
          <w:lang w:val="en-US" w:eastAsia="fr-BE"/>
        </w:rPr>
        <w:t>Handels</w:t>
      </w:r>
      <w:proofErr w:type="spellEnd"/>
      <w:r w:rsidR="0094336F" w:rsidRPr="00134BB5">
        <w:rPr>
          <w:rFonts w:eastAsia="Times New Roman" w:cs="Arial"/>
          <w:sz w:val="20"/>
          <w:szCs w:val="20"/>
          <w:lang w:val="en-US" w:eastAsia="fr-BE"/>
        </w:rPr>
        <w:t xml:space="preserve"> – </w:t>
      </w:r>
      <w:r w:rsidR="0094336F" w:rsidRPr="0094336F">
        <w:rPr>
          <w:rFonts w:eastAsia="Times New Roman" w:cs="Arial"/>
          <w:sz w:val="20"/>
          <w:szCs w:val="20"/>
          <w:lang w:val="en-US" w:eastAsia="fr-BE"/>
        </w:rPr>
        <w:t xml:space="preserve">und </w:t>
      </w:r>
      <w:proofErr w:type="spellStart"/>
      <w:r w:rsidR="0094336F" w:rsidRPr="0094336F">
        <w:rPr>
          <w:rFonts w:eastAsia="Times New Roman" w:cs="Arial"/>
          <w:sz w:val="20"/>
          <w:szCs w:val="20"/>
          <w:lang w:val="en-US" w:eastAsia="fr-BE"/>
        </w:rPr>
        <w:t>Investitionspartnerschaft</w:t>
      </w:r>
      <w:proofErr w:type="spellEnd"/>
      <w:r w:rsidR="0094336F" w:rsidRPr="0094336F">
        <w:rPr>
          <w:rFonts w:eastAsia="Times New Roman" w:cs="Arial"/>
          <w:sz w:val="20"/>
          <w:szCs w:val="20"/>
          <w:lang w:val="en-US" w:eastAsia="fr-BE"/>
        </w:rPr>
        <w:t xml:space="preserve"> (TTIP) auf </w:t>
      </w:r>
      <w:proofErr w:type="spellStart"/>
      <w:r w:rsidR="0094336F" w:rsidRPr="0094336F">
        <w:rPr>
          <w:rFonts w:eastAsia="Times New Roman" w:cs="Arial"/>
          <w:sz w:val="20"/>
          <w:szCs w:val="20"/>
          <w:lang w:val="en-US" w:eastAsia="fr-BE"/>
        </w:rPr>
        <w:t>Entwicklungs</w:t>
      </w:r>
      <w:proofErr w:type="spellEnd"/>
      <w:r w:rsidR="0094336F" w:rsidRPr="00134BB5">
        <w:rPr>
          <w:rFonts w:eastAsia="Times New Roman" w:cs="Arial"/>
          <w:sz w:val="20"/>
          <w:szCs w:val="20"/>
          <w:lang w:val="en-US" w:eastAsia="fr-BE"/>
        </w:rPr>
        <w:t xml:space="preserve"> – </w:t>
      </w:r>
      <w:r w:rsidR="0094336F" w:rsidRPr="0094336F">
        <w:rPr>
          <w:rFonts w:eastAsia="Times New Roman" w:cs="Arial"/>
          <w:sz w:val="20"/>
          <w:szCs w:val="20"/>
          <w:lang w:val="en-US" w:eastAsia="fr-BE"/>
        </w:rPr>
        <w:t xml:space="preserve">und </w:t>
      </w:r>
      <w:proofErr w:type="spellStart"/>
      <w:r w:rsidR="0094336F" w:rsidRPr="0094336F">
        <w:rPr>
          <w:rFonts w:eastAsia="Times New Roman" w:cs="Arial"/>
          <w:sz w:val="20"/>
          <w:szCs w:val="20"/>
          <w:lang w:val="en-US" w:eastAsia="fr-BE"/>
        </w:rPr>
        <w:t>Schwellenländer</w:t>
      </w:r>
      <w:proofErr w:type="spellEnd"/>
      <w:r w:rsidR="004A588C" w:rsidRPr="00134BB5">
        <w:rPr>
          <w:rFonts w:eastAsia="Times New Roman" w:cs="Arial"/>
          <w:sz w:val="20"/>
          <w:szCs w:val="20"/>
          <w:lang w:val="en-US" w:eastAsia="fr-BE"/>
        </w:rPr>
        <w:t xml:space="preserve"> </w:t>
      </w:r>
      <w:r w:rsidR="004A588C" w:rsidRPr="00134BB5">
        <w:rPr>
          <w:sz w:val="20"/>
          <w:szCs w:val="20"/>
          <w:lang w:val="en-US"/>
        </w:rPr>
        <w:t>»</w:t>
      </w:r>
      <w:r w:rsidR="0094336F" w:rsidRPr="00134BB5">
        <w:rPr>
          <w:rFonts w:eastAsia="Times New Roman" w:cs="Arial"/>
          <w:sz w:val="20"/>
          <w:szCs w:val="20"/>
          <w:lang w:val="en-US" w:eastAsia="fr-BE"/>
        </w:rPr>
        <w:t xml:space="preserve">, IFO </w:t>
      </w:r>
      <w:proofErr w:type="spellStart"/>
      <w:r w:rsidR="0094336F" w:rsidRPr="00134BB5">
        <w:rPr>
          <w:rFonts w:eastAsia="Times New Roman" w:cs="Arial"/>
          <w:sz w:val="20"/>
          <w:szCs w:val="20"/>
          <w:lang w:val="en-US" w:eastAsia="fr-BE"/>
        </w:rPr>
        <w:t>Institut</w:t>
      </w:r>
      <w:proofErr w:type="spellEnd"/>
      <w:r w:rsidR="0094336F" w:rsidRPr="00134BB5">
        <w:rPr>
          <w:rFonts w:eastAsia="Times New Roman" w:cs="Arial"/>
          <w:sz w:val="20"/>
          <w:szCs w:val="20"/>
          <w:lang w:val="en-US" w:eastAsia="fr-BE"/>
        </w:rPr>
        <w:t xml:space="preserve">, </w:t>
      </w:r>
      <w:proofErr w:type="spellStart"/>
      <w:r w:rsidR="0094336F" w:rsidRPr="00134BB5">
        <w:rPr>
          <w:rFonts w:eastAsia="Times New Roman" w:cs="Arial"/>
          <w:sz w:val="20"/>
          <w:szCs w:val="20"/>
          <w:lang w:val="en-US" w:eastAsia="fr-BE"/>
        </w:rPr>
        <w:t>Januar</w:t>
      </w:r>
      <w:proofErr w:type="spellEnd"/>
      <w:r w:rsidR="0094336F" w:rsidRPr="00134BB5">
        <w:rPr>
          <w:rFonts w:eastAsia="Times New Roman" w:cs="Arial"/>
          <w:sz w:val="20"/>
          <w:szCs w:val="20"/>
          <w:lang w:val="en-US" w:eastAsia="fr-BE"/>
        </w:rPr>
        <w:t xml:space="preserve"> 2015. </w:t>
      </w:r>
    </w:p>
  </w:footnote>
  <w:footnote w:id="7">
    <w:p w:rsidR="00E57C82" w:rsidRPr="00134BB5" w:rsidRDefault="00E57C82" w:rsidP="00881CA7">
      <w:pPr>
        <w:pStyle w:val="Notedebasdepage"/>
        <w:jc w:val="both"/>
        <w:rPr>
          <w:sz w:val="16"/>
          <w:szCs w:val="16"/>
          <w:lang w:val="en-US"/>
        </w:rPr>
      </w:pPr>
      <w:r w:rsidRPr="00134BB5">
        <w:rPr>
          <w:rStyle w:val="Appelnotedebasdep"/>
        </w:rPr>
        <w:footnoteRef/>
      </w:r>
      <w:r w:rsidRPr="00134BB5">
        <w:rPr>
          <w:lang w:val="en-US"/>
        </w:rPr>
        <w:t xml:space="preserve"> J. </w:t>
      </w:r>
      <w:proofErr w:type="spellStart"/>
      <w:r w:rsidRPr="00134BB5">
        <w:rPr>
          <w:lang w:val="en-US"/>
        </w:rPr>
        <w:t>Capaldo</w:t>
      </w:r>
      <w:proofErr w:type="spellEnd"/>
      <w:r w:rsidRPr="00134BB5">
        <w:rPr>
          <w:lang w:val="en-US"/>
        </w:rPr>
        <w:t xml:space="preserve">, </w:t>
      </w:r>
      <w:r w:rsidR="00134BB5" w:rsidRPr="00134BB5">
        <w:rPr>
          <w:lang w:val="en-US"/>
        </w:rPr>
        <w:t>« </w:t>
      </w:r>
      <w:r w:rsidRPr="00134BB5">
        <w:rPr>
          <w:lang w:val="en-US"/>
        </w:rPr>
        <w:t>The Trans-Atlantic Trade and Investment Partnership: European Disintegration</w:t>
      </w:r>
      <w:r w:rsidR="00134BB5" w:rsidRPr="00134BB5">
        <w:rPr>
          <w:lang w:val="en-US"/>
        </w:rPr>
        <w:t xml:space="preserve">, Unemployment and Instability », </w:t>
      </w:r>
      <w:r w:rsidRPr="00134BB5">
        <w:rPr>
          <w:lang w:val="en-US"/>
        </w:rPr>
        <w:t>Tufts University, Global Development and Environment Institute, Working Paper n° 14-03</w:t>
      </w:r>
      <w:r w:rsidR="00134BB5">
        <w:rPr>
          <w:lang w:val="en-US"/>
        </w:rPr>
        <w:t>,</w:t>
      </w:r>
      <w:r w:rsidR="00134BB5" w:rsidRPr="00134BB5">
        <w:rPr>
          <w:lang w:val="en-US"/>
        </w:rPr>
        <w:t xml:space="preserve"> </w:t>
      </w:r>
      <w:r w:rsidR="00134BB5">
        <w:rPr>
          <w:lang w:val="en-US"/>
        </w:rPr>
        <w:t>October 2014</w:t>
      </w:r>
      <w:r w:rsidRPr="00134BB5">
        <w:rPr>
          <w:lang w:val="en-US"/>
        </w:rPr>
        <w:t xml:space="preserve"> ; </w:t>
      </w:r>
      <w:r w:rsidR="00134BB5">
        <w:rPr>
          <w:lang w:val="en-US"/>
        </w:rPr>
        <w:t>W. Raza,</w:t>
      </w:r>
      <w:r w:rsidRPr="00134BB5">
        <w:rPr>
          <w:lang w:val="en-US"/>
        </w:rPr>
        <w:t xml:space="preserve"> </w:t>
      </w:r>
      <w:r w:rsidR="00134BB5" w:rsidRPr="00134BB5">
        <w:rPr>
          <w:lang w:val="en-US"/>
        </w:rPr>
        <w:t>« </w:t>
      </w:r>
      <w:r w:rsidRPr="00134BB5">
        <w:rPr>
          <w:lang w:val="en-US"/>
        </w:rPr>
        <w:t>Assessing the Trade Benefits of the Transatlantic Trade an</w:t>
      </w:r>
      <w:r w:rsidR="00134BB5">
        <w:rPr>
          <w:lang w:val="en-US"/>
        </w:rPr>
        <w:t xml:space="preserve">d Investment Partnership (TTIP) </w:t>
      </w:r>
      <w:r w:rsidR="00134BB5" w:rsidRPr="00134BB5">
        <w:rPr>
          <w:lang w:val="en-US"/>
        </w:rPr>
        <w:t>»</w:t>
      </w:r>
      <w:r w:rsidR="00134BB5">
        <w:rPr>
          <w:lang w:val="en-US"/>
        </w:rPr>
        <w:t>,</w:t>
      </w:r>
      <w:r w:rsidRPr="00134BB5">
        <w:rPr>
          <w:lang w:val="en-US"/>
        </w:rPr>
        <w:t xml:space="preserve"> Austrian Foundation for Development Research, </w:t>
      </w:r>
      <w:r w:rsidR="00134BB5">
        <w:rPr>
          <w:lang w:val="en-US"/>
        </w:rPr>
        <w:t>October</w:t>
      </w:r>
      <w:r w:rsidRPr="00134BB5">
        <w:rPr>
          <w:lang w:val="en-US"/>
        </w:rPr>
        <w:t xml:space="preserve"> 2014 ; </w:t>
      </w:r>
      <w:r w:rsidR="00134BB5">
        <w:rPr>
          <w:lang w:val="en-US"/>
        </w:rPr>
        <w:t>J. François (dir.),</w:t>
      </w:r>
      <w:r w:rsidRPr="00134BB5">
        <w:rPr>
          <w:lang w:val="en-US"/>
        </w:rPr>
        <w:t xml:space="preserve"> </w:t>
      </w:r>
      <w:r w:rsidR="00134BB5" w:rsidRPr="00134BB5">
        <w:rPr>
          <w:lang w:val="en-US"/>
        </w:rPr>
        <w:t>« </w:t>
      </w:r>
      <w:r w:rsidRPr="00E614BF">
        <w:rPr>
          <w:lang w:val="en-US"/>
        </w:rPr>
        <w:t>Reducing Transatlantic Barriers to Trade and Investment</w:t>
      </w:r>
      <w:r w:rsidR="00134BB5" w:rsidRPr="00E614BF">
        <w:rPr>
          <w:lang w:val="en-US"/>
        </w:rPr>
        <w:t xml:space="preserve"> </w:t>
      </w:r>
      <w:r w:rsidR="00134BB5" w:rsidRPr="00134BB5">
        <w:rPr>
          <w:lang w:val="en-US"/>
        </w:rPr>
        <w:t>»</w:t>
      </w:r>
      <w:r w:rsidR="00134BB5">
        <w:rPr>
          <w:lang w:val="en-US"/>
        </w:rPr>
        <w:t xml:space="preserve">, </w:t>
      </w:r>
      <w:r w:rsidRPr="00134BB5">
        <w:rPr>
          <w:lang w:val="en-US"/>
        </w:rPr>
        <w:t>C</w:t>
      </w:r>
      <w:r w:rsidR="00E614BF">
        <w:rPr>
          <w:lang w:val="en-US"/>
        </w:rPr>
        <w:t xml:space="preserve">entre for Policy Research, March </w:t>
      </w:r>
      <w:r w:rsidRPr="00134BB5">
        <w:rPr>
          <w:lang w:val="en-US"/>
        </w:rPr>
        <w:t>2013.</w:t>
      </w:r>
    </w:p>
  </w:footnote>
  <w:footnote w:id="8">
    <w:p w:rsidR="008E0FC3" w:rsidRPr="00134BB5" w:rsidRDefault="008E0FC3" w:rsidP="00881CA7">
      <w:pPr>
        <w:pStyle w:val="Notedebasdepage"/>
        <w:jc w:val="both"/>
        <w:rPr>
          <w:lang w:val="en-US"/>
        </w:rPr>
      </w:pPr>
      <w:r>
        <w:rPr>
          <w:rStyle w:val="Appelnotedebasdep"/>
        </w:rPr>
        <w:footnoteRef/>
      </w:r>
      <w:r w:rsidRPr="00134BB5">
        <w:rPr>
          <w:lang w:val="en-US"/>
        </w:rPr>
        <w:t xml:space="preserve"> </w:t>
      </w:r>
      <w:r w:rsidR="00134BB5" w:rsidRPr="00134BB5">
        <w:rPr>
          <w:rStyle w:val="globalization14px"/>
          <w:lang w:val="en-US"/>
        </w:rPr>
        <w:t>P</w:t>
      </w:r>
      <w:r w:rsidR="00134BB5">
        <w:rPr>
          <w:rStyle w:val="globalization14px"/>
          <w:lang w:val="en-US"/>
        </w:rPr>
        <w:t>.</w:t>
      </w:r>
      <w:r w:rsidR="00134BB5" w:rsidRPr="00134BB5">
        <w:rPr>
          <w:rStyle w:val="globalization14px"/>
          <w:lang w:val="en-US"/>
        </w:rPr>
        <w:t xml:space="preserve"> Kohler and S</w:t>
      </w:r>
      <w:r w:rsidR="00134BB5">
        <w:rPr>
          <w:rStyle w:val="globalization14px"/>
          <w:lang w:val="en-US"/>
        </w:rPr>
        <w:t>.</w:t>
      </w:r>
      <w:r w:rsidR="00134BB5" w:rsidRPr="00134BB5">
        <w:rPr>
          <w:rStyle w:val="globalization14px"/>
          <w:lang w:val="en-US"/>
        </w:rPr>
        <w:t xml:space="preserve"> Storm</w:t>
      </w:r>
      <w:r w:rsidR="00134BB5">
        <w:rPr>
          <w:rStyle w:val="h1"/>
          <w:lang w:val="en-US"/>
        </w:rPr>
        <w:t xml:space="preserve">, </w:t>
      </w:r>
      <w:r w:rsidR="00134BB5" w:rsidRPr="00134BB5">
        <w:rPr>
          <w:lang w:val="en-US"/>
        </w:rPr>
        <w:t xml:space="preserve">« </w:t>
      </w:r>
      <w:r w:rsidR="00134BB5" w:rsidRPr="00134BB5">
        <w:rPr>
          <w:rStyle w:val="h1"/>
          <w:lang w:val="en-US"/>
        </w:rPr>
        <w:t>CETA Without Blinders:</w:t>
      </w:r>
      <w:r w:rsidR="00134BB5">
        <w:rPr>
          <w:lang w:val="en-US"/>
        </w:rPr>
        <w:t xml:space="preserve"> </w:t>
      </w:r>
      <w:r w:rsidR="00134BB5" w:rsidRPr="00134BB5">
        <w:rPr>
          <w:rStyle w:val="h2"/>
          <w:lang w:val="en-US"/>
        </w:rPr>
        <w:t>How Cutting ‘Trade Costs and More’ Will Cause Unemp</w:t>
      </w:r>
      <w:r w:rsidR="00134BB5">
        <w:rPr>
          <w:rStyle w:val="h2"/>
          <w:lang w:val="en-US"/>
        </w:rPr>
        <w:t xml:space="preserve">loyment, Inequality and Welfare Losses </w:t>
      </w:r>
      <w:r w:rsidR="00134BB5" w:rsidRPr="00134BB5">
        <w:rPr>
          <w:lang w:val="en-US"/>
        </w:rPr>
        <w:t>»</w:t>
      </w:r>
      <w:r w:rsidR="00134BB5">
        <w:rPr>
          <w:rStyle w:val="h2"/>
          <w:lang w:val="en-US"/>
        </w:rPr>
        <w:t xml:space="preserve">, </w:t>
      </w:r>
      <w:r w:rsidR="00134BB5" w:rsidRPr="00134BB5">
        <w:rPr>
          <w:rStyle w:val="Accentuation"/>
          <w:lang w:val="en-US"/>
        </w:rPr>
        <w:t>GDAE Working Paper 16-03</w:t>
      </w:r>
      <w:r w:rsidR="00134BB5">
        <w:rPr>
          <w:lang w:val="en-US"/>
        </w:rPr>
        <w:t xml:space="preserve">, </w:t>
      </w:r>
      <w:r w:rsidR="00134BB5" w:rsidRPr="00134BB5">
        <w:rPr>
          <w:rStyle w:val="globalization14px"/>
          <w:lang w:val="en-US"/>
        </w:rPr>
        <w:t>September 2016</w:t>
      </w:r>
      <w:r w:rsidR="00134BB5">
        <w:rPr>
          <w:rStyle w:val="globalization14px"/>
          <w:lang w:val="en-US"/>
        </w:rPr>
        <w:t>.</w:t>
      </w:r>
    </w:p>
  </w:footnote>
  <w:footnote w:id="9">
    <w:p w:rsidR="00AE1B9B" w:rsidRPr="002F526C" w:rsidRDefault="00AE1B9B" w:rsidP="00F7382D">
      <w:pPr>
        <w:pStyle w:val="Notedebasdepage"/>
        <w:jc w:val="both"/>
      </w:pPr>
      <w:r w:rsidRPr="00AE1B9B">
        <w:rPr>
          <w:rStyle w:val="Appelnotedebasdep"/>
        </w:rPr>
        <w:footnoteRef/>
      </w:r>
      <w:r w:rsidRPr="00AE1B9B">
        <w:t xml:space="preserve"> Selon </w:t>
      </w:r>
      <w:proofErr w:type="spellStart"/>
      <w:r>
        <w:t>Shaun</w:t>
      </w:r>
      <w:proofErr w:type="spellEnd"/>
      <w:r>
        <w:t xml:space="preserve"> Donnelly, </w:t>
      </w:r>
      <w:r>
        <w:rPr>
          <w:szCs w:val="28"/>
        </w:rPr>
        <w:t xml:space="preserve">ex-adjoint au représentant du commerce des Etats-Unis en Europe </w:t>
      </w:r>
      <w:r w:rsidRPr="00AE1B9B">
        <w:t>: « Le TTIP ne vaut la peine d’être conclu que s’il couvre l’aspect des règlementations, par exemple la suppressio</w:t>
      </w:r>
      <w:r>
        <w:t xml:space="preserve">n du principe de précaution ». </w:t>
      </w:r>
      <w:proofErr w:type="spellStart"/>
      <w:r w:rsidRPr="002F526C">
        <w:t>Corporate</w:t>
      </w:r>
      <w:proofErr w:type="spellEnd"/>
      <w:r w:rsidRPr="002F526C">
        <w:t xml:space="preserve"> Europe </w:t>
      </w:r>
      <w:proofErr w:type="spellStart"/>
      <w:r w:rsidRPr="002F526C">
        <w:t>Observatory</w:t>
      </w:r>
      <w:proofErr w:type="spellEnd"/>
      <w:r w:rsidRPr="002F526C">
        <w:t>, « </w:t>
      </w:r>
      <w:proofErr w:type="spellStart"/>
      <w:r w:rsidRPr="002F526C">
        <w:t>Re</w:t>
      </w:r>
      <w:r w:rsidR="00F7382D" w:rsidRPr="002F526C">
        <w:t>gulation</w:t>
      </w:r>
      <w:proofErr w:type="spellEnd"/>
      <w:r w:rsidR="00F7382D" w:rsidRPr="002F526C">
        <w:t xml:space="preserve"> – None of </w:t>
      </w:r>
      <w:proofErr w:type="spellStart"/>
      <w:r w:rsidR="00F7382D" w:rsidRPr="002F526C">
        <w:t>our</w:t>
      </w:r>
      <w:proofErr w:type="spellEnd"/>
      <w:r w:rsidR="00F7382D" w:rsidRPr="002F526C">
        <w:t xml:space="preserve"> Business</w:t>
      </w:r>
      <w:r w:rsidRPr="002F526C">
        <w:t xml:space="preserve">? », 16 </w:t>
      </w:r>
      <w:proofErr w:type="spellStart"/>
      <w:r w:rsidRPr="002F526C">
        <w:t>December</w:t>
      </w:r>
      <w:proofErr w:type="spellEnd"/>
      <w:r w:rsidRPr="002F526C">
        <w:t xml:space="preserve"> 2013.</w:t>
      </w:r>
    </w:p>
  </w:footnote>
  <w:footnote w:id="10">
    <w:p w:rsidR="00B42AF5" w:rsidRPr="00B42AF5" w:rsidRDefault="00B42AF5" w:rsidP="00F7382D">
      <w:pPr>
        <w:autoSpaceDE w:val="0"/>
        <w:autoSpaceDN w:val="0"/>
        <w:adjustRightInd w:val="0"/>
        <w:spacing w:after="0" w:line="240" w:lineRule="auto"/>
        <w:jc w:val="both"/>
        <w:rPr>
          <w:rFonts w:cs="Folio-Light"/>
          <w:sz w:val="20"/>
          <w:szCs w:val="20"/>
          <w:lang w:eastAsia="fr-BE"/>
        </w:rPr>
      </w:pPr>
      <w:r w:rsidRPr="00B42AF5">
        <w:rPr>
          <w:rStyle w:val="Appelnotedebasdep"/>
          <w:sz w:val="20"/>
          <w:szCs w:val="20"/>
        </w:rPr>
        <w:footnoteRef/>
      </w:r>
      <w:r w:rsidRPr="00B42AF5">
        <w:rPr>
          <w:sz w:val="20"/>
          <w:szCs w:val="20"/>
        </w:rPr>
        <w:t xml:space="preserve"> </w:t>
      </w:r>
      <w:r w:rsidRPr="00B42AF5">
        <w:rPr>
          <w:rFonts w:cs="Folio-Light"/>
          <w:sz w:val="20"/>
          <w:szCs w:val="20"/>
          <w:lang w:eastAsia="fr-BE"/>
        </w:rPr>
        <w:t xml:space="preserve">Les Amis de la Terre, </w:t>
      </w:r>
      <w:r>
        <w:rPr>
          <w:rFonts w:cs="Folio-Light"/>
          <w:sz w:val="20"/>
          <w:szCs w:val="20"/>
          <w:lang w:eastAsia="fr-BE"/>
        </w:rPr>
        <w:t>« </w:t>
      </w:r>
      <w:r w:rsidRPr="00B42AF5">
        <w:rPr>
          <w:rFonts w:cs="Folio-Light"/>
          <w:sz w:val="20"/>
          <w:szCs w:val="20"/>
          <w:lang w:eastAsia="fr-BE"/>
        </w:rPr>
        <w:t>Les négociations TAFTA et CETA utilisées pour affaiblir la lég</w:t>
      </w:r>
      <w:r>
        <w:rPr>
          <w:rFonts w:cs="Folio-Light"/>
          <w:sz w:val="20"/>
          <w:szCs w:val="20"/>
          <w:lang w:eastAsia="fr-BE"/>
        </w:rPr>
        <w:t>islation climatique européenne »</w:t>
      </w:r>
      <w:r w:rsidRPr="00B42AF5">
        <w:rPr>
          <w:rFonts w:cs="Folio-Light"/>
          <w:sz w:val="20"/>
          <w:szCs w:val="20"/>
          <w:lang w:eastAsia="fr-BE"/>
        </w:rPr>
        <w:t xml:space="preserve">, juillet </w:t>
      </w:r>
      <w:r w:rsidR="00881CA7">
        <w:rPr>
          <w:rFonts w:cs="Folio-Light"/>
          <w:sz w:val="20"/>
          <w:szCs w:val="20"/>
          <w:lang w:eastAsia="fr-BE"/>
        </w:rPr>
        <w:t>2014.</w:t>
      </w:r>
    </w:p>
  </w:footnote>
  <w:footnote w:id="11">
    <w:p w:rsidR="00CA2419" w:rsidRPr="00AE1B9B" w:rsidRDefault="00CA2419" w:rsidP="00F7382D">
      <w:pPr>
        <w:pStyle w:val="Notedebasdepage"/>
        <w:jc w:val="both"/>
        <w:rPr>
          <w:lang w:val="en-US"/>
        </w:rPr>
      </w:pPr>
      <w:r w:rsidRPr="00AE1B9B">
        <w:rPr>
          <w:rStyle w:val="Appelnotedebasdep"/>
        </w:rPr>
        <w:footnoteRef/>
      </w:r>
      <w:r w:rsidRPr="00AE1B9B">
        <w:rPr>
          <w:lang w:val="en-US"/>
        </w:rPr>
        <w:t xml:space="preserve"> World Bank, </w:t>
      </w:r>
      <w:r w:rsidR="00881CA7" w:rsidRPr="00881CA7">
        <w:rPr>
          <w:rFonts w:cs="Folio-Light"/>
          <w:lang w:val="en-US" w:eastAsia="fr-BE"/>
        </w:rPr>
        <w:t>« </w:t>
      </w:r>
      <w:r w:rsidR="00466A8B">
        <w:rPr>
          <w:lang w:val="en-US"/>
        </w:rPr>
        <w:t>Turn Down the Heat</w:t>
      </w:r>
      <w:r w:rsidRPr="00881CA7">
        <w:rPr>
          <w:lang w:val="en-US"/>
        </w:rPr>
        <w:t>: Climate Extremes, Regional Impacts, and the Case for</w:t>
      </w:r>
      <w:r w:rsidRPr="00AE1B9B">
        <w:rPr>
          <w:i/>
          <w:lang w:val="en-US"/>
        </w:rPr>
        <w:t xml:space="preserve"> </w:t>
      </w:r>
      <w:r w:rsidRPr="00881CA7">
        <w:rPr>
          <w:lang w:val="en-US"/>
        </w:rPr>
        <w:t>Resilience</w:t>
      </w:r>
      <w:r w:rsidR="00881CA7">
        <w:rPr>
          <w:i/>
          <w:lang w:val="en-US"/>
        </w:rPr>
        <w:t xml:space="preserve"> </w:t>
      </w:r>
      <w:r w:rsidR="00881CA7" w:rsidRPr="00881CA7">
        <w:rPr>
          <w:rFonts w:cs="Folio-Light"/>
          <w:lang w:val="en-US" w:eastAsia="fr-BE"/>
        </w:rPr>
        <w:t>»</w:t>
      </w:r>
      <w:r w:rsidRPr="00AE1B9B">
        <w:rPr>
          <w:lang w:val="en-US"/>
        </w:rPr>
        <w:t>, June 2013.</w:t>
      </w:r>
    </w:p>
  </w:footnote>
  <w:footnote w:id="12">
    <w:p w:rsidR="00620211" w:rsidRPr="00123CC4" w:rsidRDefault="00620211" w:rsidP="00123CC4">
      <w:pPr>
        <w:pStyle w:val="Grillemoyenne21"/>
        <w:jc w:val="both"/>
        <w:rPr>
          <w:sz w:val="20"/>
          <w:szCs w:val="20"/>
          <w:shd w:val="clear" w:color="auto" w:fill="FFFFFF"/>
        </w:rPr>
      </w:pPr>
      <w:r w:rsidRPr="00123CC4">
        <w:rPr>
          <w:rStyle w:val="Appelnotedebasdep"/>
          <w:sz w:val="20"/>
          <w:szCs w:val="20"/>
        </w:rPr>
        <w:footnoteRef/>
      </w:r>
      <w:r w:rsidRPr="00123CC4">
        <w:rPr>
          <w:sz w:val="20"/>
          <w:szCs w:val="20"/>
          <w:lang w:val="en-US"/>
        </w:rPr>
        <w:t xml:space="preserve"> </w:t>
      </w:r>
      <w:r w:rsidR="00123CC4" w:rsidRPr="00123CC4">
        <w:rPr>
          <w:sz w:val="20"/>
          <w:szCs w:val="20"/>
          <w:lang w:val="en-US"/>
        </w:rPr>
        <w:t xml:space="preserve">G. Van </w:t>
      </w:r>
      <w:proofErr w:type="spellStart"/>
      <w:r w:rsidR="00123CC4" w:rsidRPr="00123CC4">
        <w:rPr>
          <w:sz w:val="20"/>
          <w:szCs w:val="20"/>
          <w:lang w:val="en-US"/>
        </w:rPr>
        <w:t>Harten</w:t>
      </w:r>
      <w:proofErr w:type="spellEnd"/>
      <w:r w:rsidR="00123CC4" w:rsidRPr="00123CC4">
        <w:rPr>
          <w:sz w:val="20"/>
          <w:szCs w:val="20"/>
          <w:lang w:val="en-US"/>
        </w:rPr>
        <w:t xml:space="preserve">, </w:t>
      </w:r>
      <w:r w:rsidR="00123CC4" w:rsidRPr="00123CC4">
        <w:rPr>
          <w:rFonts w:cs="Folio-Light"/>
          <w:sz w:val="20"/>
          <w:szCs w:val="20"/>
          <w:lang w:val="en-US" w:eastAsia="fr-BE"/>
        </w:rPr>
        <w:t>« </w:t>
      </w:r>
      <w:r w:rsidR="00123CC4" w:rsidRPr="00123CC4">
        <w:rPr>
          <w:sz w:val="20"/>
          <w:szCs w:val="20"/>
          <w:shd w:val="clear" w:color="auto" w:fill="FFFFFF"/>
        </w:rPr>
        <w:t xml:space="preserve">Critical flaws in the European Commission’s proposals for foreign investor protection </w:t>
      </w:r>
      <w:r w:rsidR="00123CC4" w:rsidRPr="00123CC4">
        <w:rPr>
          <w:rFonts w:cs="Folio-Light"/>
          <w:sz w:val="20"/>
          <w:szCs w:val="20"/>
          <w:lang w:val="en-US" w:eastAsia="fr-BE"/>
        </w:rPr>
        <w:t xml:space="preserve">», </w:t>
      </w:r>
      <w:r w:rsidR="00123CC4" w:rsidRPr="00123CC4">
        <w:rPr>
          <w:sz w:val="20"/>
          <w:szCs w:val="20"/>
          <w:shd w:val="clear" w:color="auto" w:fill="FFFFFF"/>
        </w:rPr>
        <w:t>Osgoode Hall Law School, 16 November 2015.</w:t>
      </w:r>
    </w:p>
  </w:footnote>
  <w:footnote w:id="13">
    <w:p w:rsidR="00B42AF5" w:rsidRPr="00B42AF5" w:rsidRDefault="00B42AF5" w:rsidP="00F7382D">
      <w:pPr>
        <w:pStyle w:val="Notedebasdepage"/>
        <w:jc w:val="both"/>
        <w:rPr>
          <w:lang w:val="en-US"/>
        </w:rPr>
      </w:pPr>
      <w:r w:rsidRPr="00B42AF5">
        <w:rPr>
          <w:rStyle w:val="Appelnotedebasdep"/>
        </w:rPr>
        <w:footnoteRef/>
      </w:r>
      <w:r w:rsidRPr="00B42AF5">
        <w:rPr>
          <w:lang w:val="en-US"/>
        </w:rPr>
        <w:t xml:space="preserve"> Friends of the Earth Europe, « The TTIP of the Anti-Democratic Iceberg », October 2013.</w:t>
      </w:r>
    </w:p>
  </w:footnote>
  <w:footnote w:id="14">
    <w:p w:rsidR="00B42AF5" w:rsidRPr="001C2002" w:rsidRDefault="00B42AF5" w:rsidP="00F7382D">
      <w:pPr>
        <w:pStyle w:val="Notedebasdepage"/>
        <w:jc w:val="both"/>
      </w:pPr>
      <w:r w:rsidRPr="001C2002">
        <w:rPr>
          <w:rStyle w:val="Appelnotedebasdep"/>
        </w:rPr>
        <w:footnoteRef/>
      </w:r>
      <w:r w:rsidRPr="001C2002">
        <w:t xml:space="preserve"> Alternatives Sud, « Obsolète, le clivage Nord-Sud ? », CETRI/Syllepse, 2016, p. 174.</w:t>
      </w:r>
    </w:p>
  </w:footnote>
  <w:footnote w:id="15">
    <w:p w:rsidR="00620211" w:rsidRPr="008F13B8" w:rsidRDefault="00620211" w:rsidP="00F7382D">
      <w:pPr>
        <w:pStyle w:val="Notedebasdepage"/>
        <w:jc w:val="both"/>
        <w:rPr>
          <w:sz w:val="16"/>
          <w:szCs w:val="16"/>
        </w:rPr>
      </w:pPr>
      <w:r w:rsidRPr="00F86641">
        <w:rPr>
          <w:rStyle w:val="Appelnotedebasdep"/>
        </w:rPr>
        <w:footnoteRef/>
      </w:r>
      <w:r w:rsidRPr="008F13B8">
        <w:t xml:space="preserve"> CNUCED, </w:t>
      </w:r>
      <w:r w:rsidRPr="008F13B8">
        <w:rPr>
          <w:i/>
        </w:rPr>
        <w:t>Rapport sur le commerce et le développement 2014.</w:t>
      </w:r>
      <w:r>
        <w:rPr>
          <w:i/>
        </w:rPr>
        <w:t xml:space="preserve"> Gouvernance mondiale et marge d’action pour le développement</w:t>
      </w:r>
      <w:r w:rsidRPr="008F13B8">
        <w:t>,</w:t>
      </w:r>
      <w:r>
        <w:t xml:space="preserve"> Nations unies,</w:t>
      </w:r>
      <w:r w:rsidRPr="008F13B8">
        <w:t xml:space="preserve"> 2014, p. 162-63.</w:t>
      </w:r>
    </w:p>
  </w:footnote>
  <w:footnote w:id="16">
    <w:p w:rsidR="002F526C" w:rsidRPr="00C07E50" w:rsidRDefault="002F526C" w:rsidP="00C07E50">
      <w:pPr>
        <w:spacing w:after="0" w:line="240" w:lineRule="auto"/>
        <w:rPr>
          <w:sz w:val="20"/>
          <w:szCs w:val="20"/>
          <w:lang w:eastAsia="fr-BE"/>
        </w:rPr>
      </w:pPr>
      <w:r w:rsidRPr="00C07E50">
        <w:rPr>
          <w:rStyle w:val="Appelnotedebasdep"/>
          <w:sz w:val="20"/>
          <w:szCs w:val="20"/>
        </w:rPr>
        <w:footnoteRef/>
      </w:r>
      <w:r w:rsidRPr="00C07E50">
        <w:rPr>
          <w:sz w:val="20"/>
          <w:szCs w:val="20"/>
          <w:lang w:val="nl-NL"/>
        </w:rPr>
        <w:t xml:space="preserve"> </w:t>
      </w:r>
      <w:r w:rsidR="00C07E50" w:rsidRPr="00C07E50">
        <w:rPr>
          <w:sz w:val="20"/>
          <w:szCs w:val="20"/>
          <w:lang w:val="nl-NL"/>
        </w:rPr>
        <w:t xml:space="preserve">Parlement </w:t>
      </w:r>
      <w:proofErr w:type="spellStart"/>
      <w:r w:rsidR="00C07E50" w:rsidRPr="00C07E50">
        <w:rPr>
          <w:sz w:val="20"/>
          <w:szCs w:val="20"/>
          <w:lang w:val="nl-NL"/>
        </w:rPr>
        <w:t>wallon</w:t>
      </w:r>
      <w:proofErr w:type="spellEnd"/>
      <w:r w:rsidR="00C07E50" w:rsidRPr="00C07E50">
        <w:rPr>
          <w:sz w:val="20"/>
          <w:szCs w:val="20"/>
          <w:lang w:val="nl-NL"/>
        </w:rPr>
        <w:t xml:space="preserve">, Comité </w:t>
      </w:r>
      <w:proofErr w:type="spellStart"/>
      <w:r w:rsidR="00C07E50" w:rsidRPr="00C07E50">
        <w:rPr>
          <w:sz w:val="20"/>
          <w:szCs w:val="20"/>
          <w:lang w:val="nl-NL"/>
        </w:rPr>
        <w:t>d’avis</w:t>
      </w:r>
      <w:proofErr w:type="spellEnd"/>
      <w:r w:rsidR="00C07E50" w:rsidRPr="00C07E50">
        <w:rPr>
          <w:sz w:val="20"/>
          <w:szCs w:val="20"/>
          <w:lang w:val="nl-NL"/>
        </w:rPr>
        <w:t xml:space="preserve"> chargé des </w:t>
      </w:r>
      <w:proofErr w:type="spellStart"/>
      <w:r w:rsidR="00C07E50" w:rsidRPr="00C07E50">
        <w:rPr>
          <w:sz w:val="20"/>
          <w:szCs w:val="20"/>
          <w:lang w:val="nl-NL"/>
        </w:rPr>
        <w:t>questions</w:t>
      </w:r>
      <w:proofErr w:type="spellEnd"/>
      <w:r w:rsidR="00C07E50" w:rsidRPr="00C07E50">
        <w:rPr>
          <w:sz w:val="20"/>
          <w:szCs w:val="20"/>
          <w:lang w:val="nl-NL"/>
        </w:rPr>
        <w:t xml:space="preserve"> </w:t>
      </w:r>
      <w:proofErr w:type="spellStart"/>
      <w:r w:rsidR="00C07E50" w:rsidRPr="00C07E50">
        <w:rPr>
          <w:sz w:val="20"/>
          <w:szCs w:val="20"/>
          <w:lang w:val="nl-NL"/>
        </w:rPr>
        <w:t>européennes</w:t>
      </w:r>
      <w:proofErr w:type="spellEnd"/>
      <w:r w:rsidR="00C07E50" w:rsidRPr="00C07E50">
        <w:rPr>
          <w:sz w:val="20"/>
          <w:szCs w:val="20"/>
          <w:lang w:val="nl-NL"/>
        </w:rPr>
        <w:t xml:space="preserve">, </w:t>
      </w:r>
      <w:r w:rsidR="00C07E50" w:rsidRPr="00C07E50">
        <w:rPr>
          <w:sz w:val="20"/>
          <w:szCs w:val="20"/>
        </w:rPr>
        <w:t>C.R.A.C. N°166</w:t>
      </w:r>
      <w:r w:rsidR="00C07E50" w:rsidRPr="00C07E50">
        <w:rPr>
          <w:sz w:val="20"/>
          <w:szCs w:val="20"/>
          <w:lang w:eastAsia="fr-BE"/>
        </w:rPr>
        <w:t xml:space="preserve"> </w:t>
      </w:r>
      <w:r w:rsidR="00C07E50" w:rsidRPr="00C07E50">
        <w:rPr>
          <w:sz w:val="20"/>
          <w:szCs w:val="20"/>
        </w:rPr>
        <w:t xml:space="preserve">(2014-2015), 22 juin 2015, </w:t>
      </w:r>
      <w:r w:rsidR="00C07E50" w:rsidRPr="00C07E50">
        <w:rPr>
          <w:sz w:val="20"/>
          <w:szCs w:val="20"/>
          <w:lang w:val="nl-NL"/>
        </w:rPr>
        <w:t>p.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828B4"/>
    <w:multiLevelType w:val="hybridMultilevel"/>
    <w:tmpl w:val="FEE8BB10"/>
    <w:lvl w:ilvl="0" w:tplc="D2BE53D2">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A903AB8"/>
    <w:multiLevelType w:val="hybridMultilevel"/>
    <w:tmpl w:val="B088CFD2"/>
    <w:lvl w:ilvl="0" w:tplc="33C42C88">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CB5397A"/>
    <w:multiLevelType w:val="hybridMultilevel"/>
    <w:tmpl w:val="2C5AF71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34E"/>
    <w:rsid w:val="000069EB"/>
    <w:rsid w:val="00020078"/>
    <w:rsid w:val="00044F36"/>
    <w:rsid w:val="0004563E"/>
    <w:rsid w:val="00050694"/>
    <w:rsid w:val="000F3296"/>
    <w:rsid w:val="00122359"/>
    <w:rsid w:val="00123CC4"/>
    <w:rsid w:val="00134BB5"/>
    <w:rsid w:val="00184EE2"/>
    <w:rsid w:val="00197D0E"/>
    <w:rsid w:val="001A4D60"/>
    <w:rsid w:val="001E74C1"/>
    <w:rsid w:val="00200608"/>
    <w:rsid w:val="002333DB"/>
    <w:rsid w:val="00250A8B"/>
    <w:rsid w:val="0025579D"/>
    <w:rsid w:val="002750BF"/>
    <w:rsid w:val="002763F0"/>
    <w:rsid w:val="00297A3A"/>
    <w:rsid w:val="002C452F"/>
    <w:rsid w:val="002C7B67"/>
    <w:rsid w:val="002F526C"/>
    <w:rsid w:val="0033526E"/>
    <w:rsid w:val="003524B7"/>
    <w:rsid w:val="003C3571"/>
    <w:rsid w:val="004266DB"/>
    <w:rsid w:val="00432410"/>
    <w:rsid w:val="004460BC"/>
    <w:rsid w:val="00466A8B"/>
    <w:rsid w:val="00484690"/>
    <w:rsid w:val="00487129"/>
    <w:rsid w:val="004A588C"/>
    <w:rsid w:val="004E45FF"/>
    <w:rsid w:val="004F02CC"/>
    <w:rsid w:val="00515293"/>
    <w:rsid w:val="005816D6"/>
    <w:rsid w:val="00584B17"/>
    <w:rsid w:val="00597897"/>
    <w:rsid w:val="005B3C21"/>
    <w:rsid w:val="005B3E77"/>
    <w:rsid w:val="005B469C"/>
    <w:rsid w:val="005C20D3"/>
    <w:rsid w:val="00613D9C"/>
    <w:rsid w:val="00620211"/>
    <w:rsid w:val="00632317"/>
    <w:rsid w:val="006B08F4"/>
    <w:rsid w:val="0078720E"/>
    <w:rsid w:val="00790123"/>
    <w:rsid w:val="00792310"/>
    <w:rsid w:val="00795FFC"/>
    <w:rsid w:val="007A1D60"/>
    <w:rsid w:val="007D34AA"/>
    <w:rsid w:val="007D7F81"/>
    <w:rsid w:val="007E6E00"/>
    <w:rsid w:val="00842332"/>
    <w:rsid w:val="00871A5E"/>
    <w:rsid w:val="00881CA7"/>
    <w:rsid w:val="00882F30"/>
    <w:rsid w:val="008E0FC3"/>
    <w:rsid w:val="008E7AEB"/>
    <w:rsid w:val="009372FC"/>
    <w:rsid w:val="0094336F"/>
    <w:rsid w:val="00991924"/>
    <w:rsid w:val="009A4852"/>
    <w:rsid w:val="00A148E1"/>
    <w:rsid w:val="00A319F8"/>
    <w:rsid w:val="00A5132C"/>
    <w:rsid w:val="00A6010A"/>
    <w:rsid w:val="00A65F6C"/>
    <w:rsid w:val="00AE1B9B"/>
    <w:rsid w:val="00AF3F84"/>
    <w:rsid w:val="00B3653D"/>
    <w:rsid w:val="00B42AF5"/>
    <w:rsid w:val="00B52374"/>
    <w:rsid w:val="00B64DEE"/>
    <w:rsid w:val="00B8788A"/>
    <w:rsid w:val="00BD447E"/>
    <w:rsid w:val="00BE12AE"/>
    <w:rsid w:val="00C07E50"/>
    <w:rsid w:val="00C12DEB"/>
    <w:rsid w:val="00C15A2D"/>
    <w:rsid w:val="00C223FD"/>
    <w:rsid w:val="00C3283F"/>
    <w:rsid w:val="00CA2419"/>
    <w:rsid w:val="00CB5C9B"/>
    <w:rsid w:val="00CF13A2"/>
    <w:rsid w:val="00D06920"/>
    <w:rsid w:val="00D15B7F"/>
    <w:rsid w:val="00D22174"/>
    <w:rsid w:val="00D263A1"/>
    <w:rsid w:val="00D4434E"/>
    <w:rsid w:val="00D60946"/>
    <w:rsid w:val="00D81B07"/>
    <w:rsid w:val="00DA3ADD"/>
    <w:rsid w:val="00DE20FD"/>
    <w:rsid w:val="00E0618A"/>
    <w:rsid w:val="00E07176"/>
    <w:rsid w:val="00E14BE4"/>
    <w:rsid w:val="00E422C4"/>
    <w:rsid w:val="00E42443"/>
    <w:rsid w:val="00E44B65"/>
    <w:rsid w:val="00E57C82"/>
    <w:rsid w:val="00E614BF"/>
    <w:rsid w:val="00E87A81"/>
    <w:rsid w:val="00EB0623"/>
    <w:rsid w:val="00F7382D"/>
    <w:rsid w:val="00F86AFC"/>
    <w:rsid w:val="00FB3FA1"/>
    <w:rsid w:val="00FC444C"/>
    <w:rsid w:val="00FD3B5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9E0F8"/>
  <w15:docId w15:val="{A5C401E9-2DBE-4939-9D19-F46ABE11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link w:val="Titre1Car"/>
    <w:uiPriority w:val="9"/>
    <w:qFormat/>
    <w:rsid w:val="00BE12AE"/>
    <w:pPr>
      <w:spacing w:before="100" w:beforeAutospacing="1" w:after="100" w:afterAutospacing="1" w:line="240" w:lineRule="auto"/>
      <w:outlineLvl w:val="0"/>
    </w:pPr>
    <w:rPr>
      <w:rFonts w:ascii="Times New Roman" w:eastAsia="Times New Roman" w:hAnsi="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couleur-Accent11">
    <w:name w:val="Liste couleur - Accent 11"/>
    <w:basedOn w:val="Normal"/>
    <w:uiPriority w:val="34"/>
    <w:qFormat/>
    <w:rsid w:val="00CB5C9B"/>
    <w:pPr>
      <w:ind w:left="720"/>
      <w:contextualSpacing/>
    </w:pPr>
  </w:style>
  <w:style w:type="paragraph" w:styleId="Notedebasdepage">
    <w:name w:val="footnote text"/>
    <w:aliases w:val="Char,Char Char Char Char,Char Char Char Char Char Char,Char Char Char Char Char,Char Char Char,Char Char Char Char Char Char Char Char Char,Char Char Char Char Char Char Char Char,Char Char Char Cha Char Char Char, Char, Char Char"/>
    <w:basedOn w:val="Normal"/>
    <w:link w:val="NotedebasdepageCar"/>
    <w:uiPriority w:val="99"/>
    <w:unhideWhenUsed/>
    <w:rsid w:val="00EB0623"/>
    <w:pPr>
      <w:spacing w:after="0" w:line="240" w:lineRule="auto"/>
    </w:pPr>
    <w:rPr>
      <w:sz w:val="20"/>
      <w:szCs w:val="20"/>
    </w:rPr>
  </w:style>
  <w:style w:type="character" w:customStyle="1" w:styleId="NotedebasdepageCar">
    <w:name w:val="Note de bas de page Car"/>
    <w:aliases w:val="Char Car,Char Char Char Char Car,Char Char Char Char Char Char Car,Char Char Char Char Char Car,Char Char Char Car,Char Char Char Char Char Char Char Char Char Car,Char Char Char Char Char Char Char Char Car, Char Car"/>
    <w:link w:val="Notedebasdepage"/>
    <w:uiPriority w:val="99"/>
    <w:rsid w:val="00EB0623"/>
    <w:rPr>
      <w:sz w:val="20"/>
      <w:szCs w:val="20"/>
    </w:rPr>
  </w:style>
  <w:style w:type="character" w:styleId="Appelnotedebasdep">
    <w:name w:val="footnote reference"/>
    <w:aliases w:val="Ref,de nota al pie,de nota al pie + (Asian) MS Mincho,11 pt"/>
    <w:uiPriority w:val="99"/>
    <w:unhideWhenUsed/>
    <w:rsid w:val="00EB0623"/>
    <w:rPr>
      <w:vertAlign w:val="superscript"/>
    </w:rPr>
  </w:style>
  <w:style w:type="character" w:styleId="Lienhypertexte">
    <w:name w:val="Hyperlink"/>
    <w:uiPriority w:val="99"/>
    <w:unhideWhenUsed/>
    <w:rsid w:val="00EB0623"/>
    <w:rPr>
      <w:color w:val="0000FF"/>
      <w:u w:val="single"/>
    </w:rPr>
  </w:style>
  <w:style w:type="character" w:customStyle="1" w:styleId="Titre1Car">
    <w:name w:val="Titre 1 Car"/>
    <w:link w:val="Titre1"/>
    <w:uiPriority w:val="9"/>
    <w:rsid w:val="00BE12AE"/>
    <w:rPr>
      <w:rFonts w:ascii="Times New Roman" w:eastAsia="Times New Roman" w:hAnsi="Times New Roman"/>
      <w:b/>
      <w:bCs/>
      <w:kern w:val="36"/>
      <w:sz w:val="48"/>
      <w:szCs w:val="48"/>
    </w:rPr>
  </w:style>
  <w:style w:type="character" w:customStyle="1" w:styleId="h1">
    <w:name w:val="h1"/>
    <w:rsid w:val="00134BB5"/>
  </w:style>
  <w:style w:type="character" w:customStyle="1" w:styleId="h2">
    <w:name w:val="h2"/>
    <w:rsid w:val="00134BB5"/>
  </w:style>
  <w:style w:type="character" w:customStyle="1" w:styleId="globalization14px">
    <w:name w:val="globalization14px"/>
    <w:rsid w:val="00134BB5"/>
  </w:style>
  <w:style w:type="character" w:styleId="Accentuation">
    <w:name w:val="Emphasis"/>
    <w:uiPriority w:val="20"/>
    <w:qFormat/>
    <w:rsid w:val="00134BB5"/>
    <w:rPr>
      <w:i/>
      <w:iCs/>
    </w:rPr>
  </w:style>
  <w:style w:type="paragraph" w:customStyle="1" w:styleId="Grillemoyenne21">
    <w:name w:val="Grille moyenne 21"/>
    <w:uiPriority w:val="1"/>
    <w:qFormat/>
    <w:rsid w:val="00123CC4"/>
    <w:rPr>
      <w:sz w:val="22"/>
      <w:szCs w:val="22"/>
      <w:lang w:val="en-CA" w:eastAsia="en-US"/>
    </w:rPr>
  </w:style>
  <w:style w:type="paragraph" w:styleId="Textedebulles">
    <w:name w:val="Balloon Text"/>
    <w:basedOn w:val="Normal"/>
    <w:link w:val="TextedebullesCar"/>
    <w:uiPriority w:val="99"/>
    <w:semiHidden/>
    <w:unhideWhenUsed/>
    <w:rsid w:val="0025579D"/>
    <w:pPr>
      <w:spacing w:after="0" w:line="240" w:lineRule="auto"/>
    </w:pPr>
    <w:rPr>
      <w:rFonts w:ascii="Helvetica" w:hAnsi="Helvetica"/>
      <w:sz w:val="18"/>
      <w:szCs w:val="18"/>
    </w:rPr>
  </w:style>
  <w:style w:type="character" w:customStyle="1" w:styleId="TextedebullesCar">
    <w:name w:val="Texte de bulles Car"/>
    <w:link w:val="Textedebulles"/>
    <w:uiPriority w:val="99"/>
    <w:semiHidden/>
    <w:rsid w:val="0025579D"/>
    <w:rPr>
      <w:rFonts w:ascii="Helvetica" w:hAnsi="Helvetica"/>
      <w:sz w:val="18"/>
      <w:szCs w:val="18"/>
      <w:lang w:eastAsia="en-US"/>
    </w:rPr>
  </w:style>
  <w:style w:type="paragraph" w:styleId="NormalWeb">
    <w:name w:val="Normal (Web)"/>
    <w:basedOn w:val="Normal"/>
    <w:uiPriority w:val="99"/>
    <w:semiHidden/>
    <w:unhideWhenUsed/>
    <w:rsid w:val="0025579D"/>
    <w:pPr>
      <w:spacing w:before="100" w:beforeAutospacing="1" w:after="100" w:afterAutospacing="1" w:line="240" w:lineRule="auto"/>
    </w:pPr>
    <w:rPr>
      <w:rFonts w:ascii="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5150">
      <w:bodyDiv w:val="1"/>
      <w:marLeft w:val="0"/>
      <w:marRight w:val="0"/>
      <w:marTop w:val="0"/>
      <w:marBottom w:val="0"/>
      <w:divBdr>
        <w:top w:val="none" w:sz="0" w:space="0" w:color="auto"/>
        <w:left w:val="none" w:sz="0" w:space="0" w:color="auto"/>
        <w:bottom w:val="none" w:sz="0" w:space="0" w:color="auto"/>
        <w:right w:val="none" w:sz="0" w:space="0" w:color="auto"/>
      </w:divBdr>
    </w:div>
    <w:div w:id="40130303">
      <w:bodyDiv w:val="1"/>
      <w:marLeft w:val="0"/>
      <w:marRight w:val="0"/>
      <w:marTop w:val="0"/>
      <w:marBottom w:val="0"/>
      <w:divBdr>
        <w:top w:val="none" w:sz="0" w:space="0" w:color="auto"/>
        <w:left w:val="none" w:sz="0" w:space="0" w:color="auto"/>
        <w:bottom w:val="none" w:sz="0" w:space="0" w:color="auto"/>
        <w:right w:val="none" w:sz="0" w:space="0" w:color="auto"/>
      </w:divBdr>
      <w:divsChild>
        <w:div w:id="209078577">
          <w:marLeft w:val="0"/>
          <w:marRight w:val="0"/>
          <w:marTop w:val="0"/>
          <w:marBottom w:val="0"/>
          <w:divBdr>
            <w:top w:val="none" w:sz="0" w:space="0" w:color="auto"/>
            <w:left w:val="none" w:sz="0" w:space="0" w:color="auto"/>
            <w:bottom w:val="none" w:sz="0" w:space="0" w:color="auto"/>
            <w:right w:val="none" w:sz="0" w:space="0" w:color="auto"/>
          </w:divBdr>
        </w:div>
        <w:div w:id="390082691">
          <w:marLeft w:val="0"/>
          <w:marRight w:val="0"/>
          <w:marTop w:val="0"/>
          <w:marBottom w:val="0"/>
          <w:divBdr>
            <w:top w:val="none" w:sz="0" w:space="0" w:color="auto"/>
            <w:left w:val="none" w:sz="0" w:space="0" w:color="auto"/>
            <w:bottom w:val="none" w:sz="0" w:space="0" w:color="auto"/>
            <w:right w:val="none" w:sz="0" w:space="0" w:color="auto"/>
          </w:divBdr>
        </w:div>
        <w:div w:id="921839916">
          <w:marLeft w:val="0"/>
          <w:marRight w:val="0"/>
          <w:marTop w:val="0"/>
          <w:marBottom w:val="0"/>
          <w:divBdr>
            <w:top w:val="none" w:sz="0" w:space="0" w:color="auto"/>
            <w:left w:val="none" w:sz="0" w:space="0" w:color="auto"/>
            <w:bottom w:val="none" w:sz="0" w:space="0" w:color="auto"/>
            <w:right w:val="none" w:sz="0" w:space="0" w:color="auto"/>
          </w:divBdr>
        </w:div>
        <w:div w:id="1005668591">
          <w:marLeft w:val="0"/>
          <w:marRight w:val="0"/>
          <w:marTop w:val="0"/>
          <w:marBottom w:val="0"/>
          <w:divBdr>
            <w:top w:val="none" w:sz="0" w:space="0" w:color="auto"/>
            <w:left w:val="none" w:sz="0" w:space="0" w:color="auto"/>
            <w:bottom w:val="none" w:sz="0" w:space="0" w:color="auto"/>
            <w:right w:val="none" w:sz="0" w:space="0" w:color="auto"/>
          </w:divBdr>
        </w:div>
        <w:div w:id="1016082483">
          <w:marLeft w:val="0"/>
          <w:marRight w:val="0"/>
          <w:marTop w:val="0"/>
          <w:marBottom w:val="0"/>
          <w:divBdr>
            <w:top w:val="none" w:sz="0" w:space="0" w:color="auto"/>
            <w:left w:val="none" w:sz="0" w:space="0" w:color="auto"/>
            <w:bottom w:val="none" w:sz="0" w:space="0" w:color="auto"/>
            <w:right w:val="none" w:sz="0" w:space="0" w:color="auto"/>
          </w:divBdr>
        </w:div>
        <w:div w:id="1172646633">
          <w:marLeft w:val="0"/>
          <w:marRight w:val="0"/>
          <w:marTop w:val="0"/>
          <w:marBottom w:val="0"/>
          <w:divBdr>
            <w:top w:val="none" w:sz="0" w:space="0" w:color="auto"/>
            <w:left w:val="none" w:sz="0" w:space="0" w:color="auto"/>
            <w:bottom w:val="none" w:sz="0" w:space="0" w:color="auto"/>
            <w:right w:val="none" w:sz="0" w:space="0" w:color="auto"/>
          </w:divBdr>
        </w:div>
        <w:div w:id="2107262877">
          <w:marLeft w:val="0"/>
          <w:marRight w:val="0"/>
          <w:marTop w:val="0"/>
          <w:marBottom w:val="0"/>
          <w:divBdr>
            <w:top w:val="none" w:sz="0" w:space="0" w:color="auto"/>
            <w:left w:val="none" w:sz="0" w:space="0" w:color="auto"/>
            <w:bottom w:val="none" w:sz="0" w:space="0" w:color="auto"/>
            <w:right w:val="none" w:sz="0" w:space="0" w:color="auto"/>
          </w:divBdr>
        </w:div>
      </w:divsChild>
    </w:div>
    <w:div w:id="511918553">
      <w:bodyDiv w:val="1"/>
      <w:marLeft w:val="0"/>
      <w:marRight w:val="0"/>
      <w:marTop w:val="0"/>
      <w:marBottom w:val="0"/>
      <w:divBdr>
        <w:top w:val="none" w:sz="0" w:space="0" w:color="auto"/>
        <w:left w:val="none" w:sz="0" w:space="0" w:color="auto"/>
        <w:bottom w:val="none" w:sz="0" w:space="0" w:color="auto"/>
        <w:right w:val="none" w:sz="0" w:space="0" w:color="auto"/>
      </w:divBdr>
    </w:div>
    <w:div w:id="855313996">
      <w:bodyDiv w:val="1"/>
      <w:marLeft w:val="0"/>
      <w:marRight w:val="0"/>
      <w:marTop w:val="0"/>
      <w:marBottom w:val="0"/>
      <w:divBdr>
        <w:top w:val="none" w:sz="0" w:space="0" w:color="auto"/>
        <w:left w:val="none" w:sz="0" w:space="0" w:color="auto"/>
        <w:bottom w:val="none" w:sz="0" w:space="0" w:color="auto"/>
        <w:right w:val="none" w:sz="0" w:space="0" w:color="auto"/>
      </w:divBdr>
    </w:div>
    <w:div w:id="1019937003">
      <w:bodyDiv w:val="1"/>
      <w:marLeft w:val="0"/>
      <w:marRight w:val="0"/>
      <w:marTop w:val="0"/>
      <w:marBottom w:val="0"/>
      <w:divBdr>
        <w:top w:val="none" w:sz="0" w:space="0" w:color="auto"/>
        <w:left w:val="none" w:sz="0" w:space="0" w:color="auto"/>
        <w:bottom w:val="none" w:sz="0" w:space="0" w:color="auto"/>
        <w:right w:val="none" w:sz="0" w:space="0" w:color="auto"/>
      </w:divBdr>
    </w:div>
    <w:div w:id="1184632578">
      <w:bodyDiv w:val="1"/>
      <w:marLeft w:val="0"/>
      <w:marRight w:val="0"/>
      <w:marTop w:val="0"/>
      <w:marBottom w:val="0"/>
      <w:divBdr>
        <w:top w:val="none" w:sz="0" w:space="0" w:color="auto"/>
        <w:left w:val="none" w:sz="0" w:space="0" w:color="auto"/>
        <w:bottom w:val="none" w:sz="0" w:space="0" w:color="auto"/>
        <w:right w:val="none" w:sz="0" w:space="0" w:color="auto"/>
      </w:divBdr>
      <w:divsChild>
        <w:div w:id="572663148">
          <w:marLeft w:val="0"/>
          <w:marRight w:val="0"/>
          <w:marTop w:val="0"/>
          <w:marBottom w:val="0"/>
          <w:divBdr>
            <w:top w:val="none" w:sz="0" w:space="0" w:color="auto"/>
            <w:left w:val="none" w:sz="0" w:space="0" w:color="auto"/>
            <w:bottom w:val="none" w:sz="0" w:space="0" w:color="auto"/>
            <w:right w:val="none" w:sz="0" w:space="0" w:color="auto"/>
          </w:divBdr>
        </w:div>
        <w:div w:id="1180512561">
          <w:marLeft w:val="0"/>
          <w:marRight w:val="0"/>
          <w:marTop w:val="0"/>
          <w:marBottom w:val="0"/>
          <w:divBdr>
            <w:top w:val="none" w:sz="0" w:space="0" w:color="auto"/>
            <w:left w:val="none" w:sz="0" w:space="0" w:color="auto"/>
            <w:bottom w:val="none" w:sz="0" w:space="0" w:color="auto"/>
            <w:right w:val="none" w:sz="0" w:space="0" w:color="auto"/>
          </w:divBdr>
        </w:div>
        <w:div w:id="1251163115">
          <w:marLeft w:val="0"/>
          <w:marRight w:val="0"/>
          <w:marTop w:val="0"/>
          <w:marBottom w:val="0"/>
          <w:divBdr>
            <w:top w:val="none" w:sz="0" w:space="0" w:color="auto"/>
            <w:left w:val="none" w:sz="0" w:space="0" w:color="auto"/>
            <w:bottom w:val="none" w:sz="0" w:space="0" w:color="auto"/>
            <w:right w:val="none" w:sz="0" w:space="0" w:color="auto"/>
          </w:divBdr>
        </w:div>
      </w:divsChild>
    </w:div>
    <w:div w:id="1283002350">
      <w:bodyDiv w:val="1"/>
      <w:marLeft w:val="0"/>
      <w:marRight w:val="0"/>
      <w:marTop w:val="0"/>
      <w:marBottom w:val="0"/>
      <w:divBdr>
        <w:top w:val="none" w:sz="0" w:space="0" w:color="auto"/>
        <w:left w:val="none" w:sz="0" w:space="0" w:color="auto"/>
        <w:bottom w:val="none" w:sz="0" w:space="0" w:color="auto"/>
        <w:right w:val="none" w:sz="0" w:space="0" w:color="auto"/>
      </w:divBdr>
      <w:divsChild>
        <w:div w:id="205794446">
          <w:marLeft w:val="0"/>
          <w:marRight w:val="0"/>
          <w:marTop w:val="0"/>
          <w:marBottom w:val="0"/>
          <w:divBdr>
            <w:top w:val="none" w:sz="0" w:space="0" w:color="auto"/>
            <w:left w:val="none" w:sz="0" w:space="0" w:color="auto"/>
            <w:bottom w:val="none" w:sz="0" w:space="0" w:color="auto"/>
            <w:right w:val="none" w:sz="0" w:space="0" w:color="auto"/>
          </w:divBdr>
        </w:div>
        <w:div w:id="1461025743">
          <w:marLeft w:val="0"/>
          <w:marRight w:val="0"/>
          <w:marTop w:val="0"/>
          <w:marBottom w:val="0"/>
          <w:divBdr>
            <w:top w:val="none" w:sz="0" w:space="0" w:color="auto"/>
            <w:left w:val="none" w:sz="0" w:space="0" w:color="auto"/>
            <w:bottom w:val="none" w:sz="0" w:space="0" w:color="auto"/>
            <w:right w:val="none" w:sz="0" w:space="0" w:color="auto"/>
          </w:divBdr>
        </w:div>
        <w:div w:id="1536187144">
          <w:marLeft w:val="0"/>
          <w:marRight w:val="0"/>
          <w:marTop w:val="0"/>
          <w:marBottom w:val="0"/>
          <w:divBdr>
            <w:top w:val="none" w:sz="0" w:space="0" w:color="auto"/>
            <w:left w:val="none" w:sz="0" w:space="0" w:color="auto"/>
            <w:bottom w:val="none" w:sz="0" w:space="0" w:color="auto"/>
            <w:right w:val="none" w:sz="0" w:space="0" w:color="auto"/>
          </w:divBdr>
        </w:div>
        <w:div w:id="1953004122">
          <w:marLeft w:val="0"/>
          <w:marRight w:val="0"/>
          <w:marTop w:val="0"/>
          <w:marBottom w:val="0"/>
          <w:divBdr>
            <w:top w:val="none" w:sz="0" w:space="0" w:color="auto"/>
            <w:left w:val="none" w:sz="0" w:space="0" w:color="auto"/>
            <w:bottom w:val="none" w:sz="0" w:space="0" w:color="auto"/>
            <w:right w:val="none" w:sz="0" w:space="0" w:color="auto"/>
          </w:divBdr>
        </w:div>
      </w:divsChild>
    </w:div>
    <w:div w:id="1618175673">
      <w:bodyDiv w:val="1"/>
      <w:marLeft w:val="0"/>
      <w:marRight w:val="0"/>
      <w:marTop w:val="0"/>
      <w:marBottom w:val="0"/>
      <w:divBdr>
        <w:top w:val="none" w:sz="0" w:space="0" w:color="auto"/>
        <w:left w:val="none" w:sz="0" w:space="0" w:color="auto"/>
        <w:bottom w:val="none" w:sz="0" w:space="0" w:color="auto"/>
        <w:right w:val="none" w:sz="0" w:space="0" w:color="auto"/>
      </w:divBdr>
      <w:divsChild>
        <w:div w:id="1367558468">
          <w:marLeft w:val="0"/>
          <w:marRight w:val="0"/>
          <w:marTop w:val="0"/>
          <w:marBottom w:val="0"/>
          <w:divBdr>
            <w:top w:val="none" w:sz="0" w:space="0" w:color="auto"/>
            <w:left w:val="none" w:sz="0" w:space="0" w:color="auto"/>
            <w:bottom w:val="none" w:sz="0" w:space="0" w:color="auto"/>
            <w:right w:val="none" w:sz="0" w:space="0" w:color="auto"/>
          </w:divBdr>
          <w:divsChild>
            <w:div w:id="1993633168">
              <w:marLeft w:val="0"/>
              <w:marRight w:val="0"/>
              <w:marTop w:val="0"/>
              <w:marBottom w:val="0"/>
              <w:divBdr>
                <w:top w:val="none" w:sz="0" w:space="0" w:color="auto"/>
                <w:left w:val="none" w:sz="0" w:space="0" w:color="auto"/>
                <w:bottom w:val="none" w:sz="0" w:space="0" w:color="auto"/>
                <w:right w:val="none" w:sz="0" w:space="0" w:color="auto"/>
              </w:divBdr>
              <w:divsChild>
                <w:div w:id="134508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62725">
      <w:bodyDiv w:val="1"/>
      <w:marLeft w:val="0"/>
      <w:marRight w:val="0"/>
      <w:marTop w:val="0"/>
      <w:marBottom w:val="0"/>
      <w:divBdr>
        <w:top w:val="none" w:sz="0" w:space="0" w:color="auto"/>
        <w:left w:val="none" w:sz="0" w:space="0" w:color="auto"/>
        <w:bottom w:val="none" w:sz="0" w:space="0" w:color="auto"/>
        <w:right w:val="none" w:sz="0" w:space="0" w:color="auto"/>
      </w:divBdr>
      <w:divsChild>
        <w:div w:id="17003538">
          <w:marLeft w:val="0"/>
          <w:marRight w:val="0"/>
          <w:marTop w:val="0"/>
          <w:marBottom w:val="0"/>
          <w:divBdr>
            <w:top w:val="none" w:sz="0" w:space="0" w:color="auto"/>
            <w:left w:val="none" w:sz="0" w:space="0" w:color="auto"/>
            <w:bottom w:val="none" w:sz="0" w:space="0" w:color="auto"/>
            <w:right w:val="none" w:sz="0" w:space="0" w:color="auto"/>
          </w:divBdr>
        </w:div>
        <w:div w:id="825129896">
          <w:marLeft w:val="0"/>
          <w:marRight w:val="0"/>
          <w:marTop w:val="0"/>
          <w:marBottom w:val="0"/>
          <w:divBdr>
            <w:top w:val="none" w:sz="0" w:space="0" w:color="auto"/>
            <w:left w:val="none" w:sz="0" w:space="0" w:color="auto"/>
            <w:bottom w:val="none" w:sz="0" w:space="0" w:color="auto"/>
            <w:right w:val="none" w:sz="0" w:space="0" w:color="auto"/>
          </w:divBdr>
        </w:div>
        <w:div w:id="1924561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data.consilium.europa.eu/doc/document/ST-11103-2013-DCL-1/en/pdf" TargetMode="External"/><Relationship Id="rId1" Type="http://schemas.openxmlformats.org/officeDocument/2006/relationships/hyperlink" Target="http://data.consilium.europa.eu/doc/document/ST-11103-2013-DCL-1/en/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80134-7B66-4940-BF9C-2335968AE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1210</Words>
  <Characters>6661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ACV-CSC</Company>
  <LinksUpToDate>false</LinksUpToDate>
  <CharactersWithSpaces>7856</CharactersWithSpaces>
  <SharedDoc>false</SharedDoc>
  <HLinks>
    <vt:vector size="12" baseType="variant">
      <vt:variant>
        <vt:i4>2228335</vt:i4>
      </vt:variant>
      <vt:variant>
        <vt:i4>3</vt:i4>
      </vt:variant>
      <vt:variant>
        <vt:i4>0</vt:i4>
      </vt:variant>
      <vt:variant>
        <vt:i4>5</vt:i4>
      </vt:variant>
      <vt:variant>
        <vt:lpwstr>http://data.consilium.europa.eu/doc/document/ST-11103-2013-DCL-1/en/pdf</vt:lpwstr>
      </vt:variant>
      <vt:variant>
        <vt:lpwstr/>
      </vt:variant>
      <vt:variant>
        <vt:i4>2228335</vt:i4>
      </vt:variant>
      <vt:variant>
        <vt:i4>0</vt:i4>
      </vt:variant>
      <vt:variant>
        <vt:i4>0</vt:i4>
      </vt:variant>
      <vt:variant>
        <vt:i4>5</vt:i4>
      </vt:variant>
      <vt:variant>
        <vt:lpwstr>http://data.consilium.europa.eu/doc/document/ST-11103-2013-DCL-1/en/pdf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Meunier</dc:creator>
  <cp:keywords/>
  <cp:lastModifiedBy>user</cp:lastModifiedBy>
  <cp:revision>4</cp:revision>
  <cp:lastPrinted>2017-01-13T10:24:00Z</cp:lastPrinted>
  <dcterms:created xsi:type="dcterms:W3CDTF">2017-01-13T10:25:00Z</dcterms:created>
  <dcterms:modified xsi:type="dcterms:W3CDTF">2017-03-13T15:02:00Z</dcterms:modified>
</cp:coreProperties>
</file>